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E316D" w14:textId="6BE7C2F5" w:rsidR="006A5D5C" w:rsidRDefault="00405148">
      <w:pPr>
        <w:rPr>
          <w:rFonts w:cs="Arial"/>
          <w:color w:val="000000" w:themeColor="text1"/>
        </w:rPr>
      </w:pPr>
      <w:bookmarkStart w:id="0" w:name="_GoBack"/>
      <w:bookmarkEnd w:id="0"/>
      <w:r>
        <w:rPr>
          <w:rFonts w:cs="Arial"/>
          <w:color w:val="000000" w:themeColor="text1"/>
        </w:rPr>
        <w:t>Symboolpolitiek met hoge boetes in</w:t>
      </w:r>
      <w:r w:rsidR="00FD6525">
        <w:rPr>
          <w:rFonts w:cs="Arial"/>
          <w:color w:val="000000" w:themeColor="text1"/>
        </w:rPr>
        <w:t xml:space="preserve"> </w:t>
      </w:r>
      <w:r w:rsidR="00507672">
        <w:rPr>
          <w:rFonts w:cs="Arial"/>
          <w:color w:val="000000" w:themeColor="text1"/>
        </w:rPr>
        <w:t>het kader van het</w:t>
      </w:r>
      <w:r>
        <w:rPr>
          <w:rFonts w:cs="Arial"/>
          <w:color w:val="000000" w:themeColor="text1"/>
        </w:rPr>
        <w:t xml:space="preserve"> financieel toezicht</w:t>
      </w:r>
    </w:p>
    <w:p w14:paraId="2B467310" w14:textId="34E20C51" w:rsidR="00405148" w:rsidRPr="00405148" w:rsidRDefault="00405148">
      <w:pPr>
        <w:rPr>
          <w:rFonts w:cs="Arial"/>
          <w:i/>
          <w:color w:val="000000" w:themeColor="text1"/>
        </w:rPr>
      </w:pPr>
      <w:r w:rsidRPr="00405148">
        <w:rPr>
          <w:rFonts w:cs="Arial"/>
          <w:i/>
          <w:color w:val="000000" w:themeColor="text1"/>
        </w:rPr>
        <w:t>A.G. Mein</w:t>
      </w:r>
      <w:r>
        <w:rPr>
          <w:rStyle w:val="FootnoteReference"/>
          <w:rFonts w:cs="Arial"/>
          <w:i/>
          <w:color w:val="000000" w:themeColor="text1"/>
        </w:rPr>
        <w:footnoteReference w:id="1"/>
      </w:r>
    </w:p>
    <w:p w14:paraId="17DB1BD6" w14:textId="77777777" w:rsidR="006A5D5C" w:rsidRPr="00372CE2" w:rsidRDefault="006A5D5C">
      <w:pPr>
        <w:rPr>
          <w:rFonts w:cs="Arial"/>
        </w:rPr>
      </w:pPr>
    </w:p>
    <w:p w14:paraId="4BC7902C" w14:textId="1894A9C9" w:rsidR="00877A5E" w:rsidRPr="00405148" w:rsidRDefault="00AF786F" w:rsidP="00EC64B0">
      <w:pPr>
        <w:pStyle w:val="ListParagraph"/>
        <w:numPr>
          <w:ilvl w:val="0"/>
          <w:numId w:val="1"/>
        </w:numPr>
        <w:rPr>
          <w:rFonts w:cs="Arial"/>
          <w:color w:val="000000" w:themeColor="text1"/>
        </w:rPr>
      </w:pPr>
      <w:r w:rsidRPr="00405148">
        <w:rPr>
          <w:rFonts w:cs="Arial"/>
          <w:color w:val="000000" w:themeColor="text1"/>
        </w:rPr>
        <w:t>Inleiding</w:t>
      </w:r>
    </w:p>
    <w:p w14:paraId="0060F37D" w14:textId="77777777" w:rsidR="00EC64B0" w:rsidRPr="00EC64B0" w:rsidRDefault="00EC64B0" w:rsidP="00EC64B0">
      <w:pPr>
        <w:pStyle w:val="ListParagraph"/>
        <w:rPr>
          <w:rFonts w:cs="Arial"/>
          <w:i/>
          <w:color w:val="FF0000"/>
        </w:rPr>
      </w:pPr>
    </w:p>
    <w:p w14:paraId="18E2EEC0" w14:textId="030DE777" w:rsidR="0056739D" w:rsidRDefault="006C4789">
      <w:pPr>
        <w:rPr>
          <w:rFonts w:cs="Arial"/>
        </w:rPr>
      </w:pPr>
      <w:r w:rsidRPr="00372CE2">
        <w:rPr>
          <w:rFonts w:cs="Arial"/>
        </w:rPr>
        <w:t>‘Hogere boetes voor overtreden regels financiële markten’, zo kopt</w:t>
      </w:r>
      <w:r w:rsidR="00F24B04">
        <w:rPr>
          <w:rFonts w:cs="Arial"/>
        </w:rPr>
        <w:t>e</w:t>
      </w:r>
      <w:r w:rsidRPr="00372CE2">
        <w:rPr>
          <w:rFonts w:cs="Arial"/>
        </w:rPr>
        <w:t xml:space="preserve"> </w:t>
      </w:r>
      <w:r w:rsidR="00C54A38">
        <w:rPr>
          <w:rFonts w:cs="Arial"/>
        </w:rPr>
        <w:t xml:space="preserve">op </w:t>
      </w:r>
      <w:r w:rsidR="005221D4" w:rsidRPr="00372CE2">
        <w:rPr>
          <w:rFonts w:cs="Arial"/>
        </w:rPr>
        <w:t>19 april 2016</w:t>
      </w:r>
      <w:r w:rsidR="00C54A38">
        <w:rPr>
          <w:rFonts w:cs="Arial"/>
        </w:rPr>
        <w:t xml:space="preserve"> </w:t>
      </w:r>
      <w:r w:rsidRPr="00372CE2">
        <w:rPr>
          <w:rFonts w:cs="Arial"/>
        </w:rPr>
        <w:t>een persbericht van het ministerie van Financiën.</w:t>
      </w:r>
      <w:r w:rsidRPr="00372CE2">
        <w:rPr>
          <w:rStyle w:val="FootnoteReference"/>
          <w:rFonts w:cs="Arial"/>
        </w:rPr>
        <w:footnoteReference w:id="2"/>
      </w:r>
      <w:r w:rsidRPr="00372CE2">
        <w:rPr>
          <w:rFonts w:cs="Arial"/>
        </w:rPr>
        <w:t xml:space="preserve"> </w:t>
      </w:r>
      <w:r w:rsidR="0089580B">
        <w:rPr>
          <w:rFonts w:cs="Arial"/>
        </w:rPr>
        <w:t xml:space="preserve">Dit naar aanleiding </w:t>
      </w:r>
      <w:r w:rsidR="009859FC">
        <w:rPr>
          <w:rFonts w:cs="Arial"/>
        </w:rPr>
        <w:t xml:space="preserve">van </w:t>
      </w:r>
      <w:r w:rsidR="0089580B">
        <w:rPr>
          <w:rFonts w:cs="Arial"/>
        </w:rPr>
        <w:t>een wetsvoorstel waarbij de maximale boete die kan worden opgelegd voor ernstige overtredingen van de Wet op het financieel toezicht (</w:t>
      </w:r>
      <w:proofErr w:type="spellStart"/>
      <w:r w:rsidR="0089580B">
        <w:rPr>
          <w:rFonts w:cs="Arial"/>
        </w:rPr>
        <w:t>Wf</w:t>
      </w:r>
      <w:r w:rsidR="00F24B04">
        <w:rPr>
          <w:rFonts w:cs="Arial"/>
        </w:rPr>
        <w:t>t</w:t>
      </w:r>
      <w:proofErr w:type="spellEnd"/>
      <w:r w:rsidR="00F24B04">
        <w:rPr>
          <w:rFonts w:cs="Arial"/>
        </w:rPr>
        <w:t xml:space="preserve">) wordt verhoogd van 4 </w:t>
      </w:r>
      <w:r w:rsidR="0089580B">
        <w:rPr>
          <w:rFonts w:cs="Arial"/>
        </w:rPr>
        <w:t>naar 5 miljoen euro.</w:t>
      </w:r>
      <w:r w:rsidR="00F24B04">
        <w:rPr>
          <w:rStyle w:val="FootnoteReference"/>
          <w:rFonts w:cs="Arial"/>
        </w:rPr>
        <w:footnoteReference w:id="3"/>
      </w:r>
      <w:r w:rsidR="00F24B04">
        <w:rPr>
          <w:rFonts w:cs="Arial"/>
        </w:rPr>
        <w:t xml:space="preserve"> </w:t>
      </w:r>
      <w:r w:rsidR="0089580B">
        <w:rPr>
          <w:rFonts w:cs="Arial"/>
        </w:rPr>
        <w:t xml:space="preserve">Daarnaast wordt een </w:t>
      </w:r>
      <w:proofErr w:type="spellStart"/>
      <w:r w:rsidR="0089580B">
        <w:rPr>
          <w:rFonts w:cs="Arial"/>
        </w:rPr>
        <w:t>omzetgerelateerde</w:t>
      </w:r>
      <w:proofErr w:type="spellEnd"/>
      <w:r w:rsidR="0089580B">
        <w:rPr>
          <w:rFonts w:cs="Arial"/>
        </w:rPr>
        <w:t xml:space="preserve"> boete (maximaal 10 procent van de jaaromzet) ingevoerd voor ernstige</w:t>
      </w:r>
      <w:r w:rsidR="007C33D2">
        <w:rPr>
          <w:rFonts w:cs="Arial"/>
        </w:rPr>
        <w:t xml:space="preserve"> overtredingen begaan door omvangrijke</w:t>
      </w:r>
      <w:r w:rsidR="0089580B">
        <w:rPr>
          <w:rFonts w:cs="Arial"/>
        </w:rPr>
        <w:t xml:space="preserve"> </w:t>
      </w:r>
      <w:r w:rsidR="00850AB9">
        <w:rPr>
          <w:rFonts w:cs="Arial"/>
        </w:rPr>
        <w:t xml:space="preserve">financiële </w:t>
      </w:r>
      <w:r w:rsidR="0089580B">
        <w:rPr>
          <w:rFonts w:cs="Arial"/>
        </w:rPr>
        <w:t xml:space="preserve">ondernemingen. </w:t>
      </w:r>
      <w:r w:rsidR="00DF778D">
        <w:rPr>
          <w:rFonts w:cs="Arial"/>
        </w:rPr>
        <w:t>Het wetsvoorstel werd</w:t>
      </w:r>
      <w:r w:rsidR="00F24B04">
        <w:rPr>
          <w:rFonts w:cs="Arial"/>
        </w:rPr>
        <w:t xml:space="preserve"> in de zomer van 2016 </w:t>
      </w:r>
      <w:r w:rsidR="007E2F58">
        <w:rPr>
          <w:rFonts w:cs="Arial"/>
        </w:rPr>
        <w:t xml:space="preserve">in </w:t>
      </w:r>
      <w:r w:rsidR="00F24B04" w:rsidRPr="00F24B04">
        <w:rPr>
          <w:rFonts w:cs="Arial"/>
          <w:i/>
        </w:rPr>
        <w:t>no time</w:t>
      </w:r>
      <w:r w:rsidR="00F24B04">
        <w:rPr>
          <w:rFonts w:cs="Arial"/>
        </w:rPr>
        <w:t xml:space="preserve"> door de Tweede en Eerste Kamer behandeld, om op </w:t>
      </w:r>
      <w:r w:rsidR="00F24B04" w:rsidRPr="00091BD1">
        <w:rPr>
          <w:rFonts w:cs="Arial"/>
          <w:color w:val="000000" w:themeColor="text1"/>
        </w:rPr>
        <w:t>11 augustus 2016 in werking te treden</w:t>
      </w:r>
      <w:r w:rsidR="007E2F58" w:rsidRPr="00091BD1">
        <w:rPr>
          <w:rFonts w:cs="Arial"/>
          <w:color w:val="000000" w:themeColor="text1"/>
        </w:rPr>
        <w:t>.</w:t>
      </w:r>
      <w:r w:rsidR="007E2F58" w:rsidRPr="00091BD1">
        <w:rPr>
          <w:rStyle w:val="FootnoteReference"/>
          <w:rFonts w:cs="Arial"/>
          <w:color w:val="000000" w:themeColor="text1"/>
        </w:rPr>
        <w:footnoteReference w:id="4"/>
      </w:r>
      <w:r w:rsidR="007E2F58" w:rsidRPr="00091BD1">
        <w:rPr>
          <w:rFonts w:cs="Arial"/>
          <w:color w:val="000000" w:themeColor="text1"/>
        </w:rPr>
        <w:t xml:space="preserve"> </w:t>
      </w:r>
      <w:r w:rsidR="00F24B04" w:rsidRPr="00091BD1">
        <w:rPr>
          <w:rFonts w:cs="Arial"/>
          <w:color w:val="000000" w:themeColor="text1"/>
        </w:rPr>
        <w:t xml:space="preserve">Hiermee heeft het boetemaximum in het kader van </w:t>
      </w:r>
      <w:r w:rsidR="00F24B04">
        <w:rPr>
          <w:rFonts w:cs="Arial"/>
        </w:rPr>
        <w:t xml:space="preserve">het financieel toezicht een nieuw record bereikt. </w:t>
      </w:r>
    </w:p>
    <w:p w14:paraId="60394A1D" w14:textId="77777777" w:rsidR="00D172AE" w:rsidRDefault="00D172AE">
      <w:pPr>
        <w:rPr>
          <w:rFonts w:cs="Arial"/>
        </w:rPr>
      </w:pPr>
    </w:p>
    <w:p w14:paraId="10DD13EE" w14:textId="0224F901" w:rsidR="00D172AE" w:rsidRDefault="007F45C7">
      <w:pPr>
        <w:rPr>
          <w:rFonts w:cs="Arial"/>
        </w:rPr>
      </w:pPr>
      <w:r>
        <w:rPr>
          <w:rFonts w:cs="Arial"/>
        </w:rPr>
        <w:t xml:space="preserve">Het trof mij dat deze </w:t>
      </w:r>
      <w:r w:rsidR="00725D9D">
        <w:rPr>
          <w:rFonts w:cs="Arial"/>
        </w:rPr>
        <w:t xml:space="preserve">toch niet geringe </w:t>
      </w:r>
      <w:r>
        <w:rPr>
          <w:rFonts w:cs="Arial"/>
        </w:rPr>
        <w:t>verhoging van de maximumboete betrekkelijk geruisloos de Tweede e</w:t>
      </w:r>
      <w:r w:rsidR="007D6748">
        <w:rPr>
          <w:rFonts w:cs="Arial"/>
        </w:rPr>
        <w:t xml:space="preserve">n Eerste Kamer heeft </w:t>
      </w:r>
      <w:r w:rsidR="00C6720D">
        <w:rPr>
          <w:rFonts w:cs="Arial"/>
        </w:rPr>
        <w:t>gepasseerd</w:t>
      </w:r>
      <w:r>
        <w:rPr>
          <w:rFonts w:cs="Arial"/>
        </w:rPr>
        <w:t>.</w:t>
      </w:r>
      <w:r>
        <w:rPr>
          <w:rStyle w:val="FootnoteReference"/>
          <w:rFonts w:cs="Arial"/>
        </w:rPr>
        <w:footnoteReference w:id="5"/>
      </w:r>
      <w:r>
        <w:rPr>
          <w:rFonts w:cs="Arial"/>
        </w:rPr>
        <w:t xml:space="preserve"> </w:t>
      </w:r>
      <w:r w:rsidR="00D874F5">
        <w:rPr>
          <w:rFonts w:cs="Arial"/>
        </w:rPr>
        <w:t xml:space="preserve">Hoewel de </w:t>
      </w:r>
      <w:r w:rsidR="00946EA1">
        <w:rPr>
          <w:rFonts w:cs="Arial"/>
        </w:rPr>
        <w:t xml:space="preserve">verhoging past in de </w:t>
      </w:r>
      <w:r w:rsidR="00D57C0F">
        <w:rPr>
          <w:rFonts w:cs="Arial"/>
        </w:rPr>
        <w:t xml:space="preserve">huidige </w:t>
      </w:r>
      <w:r w:rsidR="00946EA1">
        <w:rPr>
          <w:rFonts w:cs="Arial"/>
        </w:rPr>
        <w:t xml:space="preserve">punitieve tijdgeest, riep de </w:t>
      </w:r>
      <w:r w:rsidR="00A43D49">
        <w:rPr>
          <w:rFonts w:cs="Arial"/>
        </w:rPr>
        <w:t xml:space="preserve">ogenschijnlijke </w:t>
      </w:r>
      <w:r w:rsidR="008B0ECB">
        <w:rPr>
          <w:rFonts w:cs="Arial"/>
        </w:rPr>
        <w:t xml:space="preserve">vanzelfsprekendheid </w:t>
      </w:r>
      <w:r w:rsidR="00946EA1">
        <w:rPr>
          <w:rFonts w:cs="Arial"/>
        </w:rPr>
        <w:t>er</w:t>
      </w:r>
      <w:r w:rsidR="008B0ECB">
        <w:rPr>
          <w:rFonts w:cs="Arial"/>
        </w:rPr>
        <w:t xml:space="preserve">van </w:t>
      </w:r>
      <w:r w:rsidR="00892ACD">
        <w:rPr>
          <w:rFonts w:cs="Arial"/>
        </w:rPr>
        <w:t xml:space="preserve">bij mij </w:t>
      </w:r>
      <w:r w:rsidR="00DF778D">
        <w:rPr>
          <w:rFonts w:cs="Arial"/>
        </w:rPr>
        <w:t xml:space="preserve">enige </w:t>
      </w:r>
      <w:r w:rsidR="00892ACD">
        <w:rPr>
          <w:rFonts w:cs="Arial"/>
        </w:rPr>
        <w:t xml:space="preserve">verbazing </w:t>
      </w:r>
      <w:r w:rsidR="00C6720D">
        <w:rPr>
          <w:rFonts w:cs="Arial"/>
        </w:rPr>
        <w:t xml:space="preserve">op. In de kamerstukken wordt </w:t>
      </w:r>
      <w:r w:rsidR="006D3A99">
        <w:rPr>
          <w:rFonts w:cs="Arial"/>
        </w:rPr>
        <w:t xml:space="preserve">ter onderbouwing </w:t>
      </w:r>
      <w:r w:rsidR="00C6720D">
        <w:rPr>
          <w:rFonts w:cs="Arial"/>
        </w:rPr>
        <w:t xml:space="preserve">(onder meer, ik kom daarop terug) vrij summier gerefereerd aan de afschrikkingsgedachte. Omdat ik van Henk </w:t>
      </w:r>
      <w:r w:rsidR="00850AB9">
        <w:rPr>
          <w:rFonts w:cs="Arial"/>
        </w:rPr>
        <w:t xml:space="preserve">van de Bunt </w:t>
      </w:r>
      <w:r w:rsidR="00C6720D">
        <w:rPr>
          <w:rFonts w:cs="Arial"/>
        </w:rPr>
        <w:t xml:space="preserve">heb geleerd geen genoegen te nemen met hetgeen in beleidsstukken wordt gesteld (waartoe ik als voormalig medewerker ten </w:t>
      </w:r>
      <w:proofErr w:type="spellStart"/>
      <w:r w:rsidR="00C6720D">
        <w:rPr>
          <w:rFonts w:cs="Arial"/>
        </w:rPr>
        <w:t>departemente</w:t>
      </w:r>
      <w:proofErr w:type="spellEnd"/>
      <w:r w:rsidR="00C6720D">
        <w:rPr>
          <w:rFonts w:cs="Arial"/>
        </w:rPr>
        <w:t xml:space="preserve"> </w:t>
      </w:r>
      <w:r w:rsidR="007643A4">
        <w:rPr>
          <w:rFonts w:cs="Arial"/>
        </w:rPr>
        <w:t xml:space="preserve">van nature </w:t>
      </w:r>
      <w:r w:rsidR="00C6720D">
        <w:rPr>
          <w:rFonts w:cs="Arial"/>
        </w:rPr>
        <w:t>sterk was geneigd</w:t>
      </w:r>
      <w:r w:rsidR="00DF778D">
        <w:rPr>
          <w:rFonts w:cs="Arial"/>
        </w:rPr>
        <w:t>)</w:t>
      </w:r>
      <w:r w:rsidR="00C6720D">
        <w:rPr>
          <w:rFonts w:cs="Arial"/>
        </w:rPr>
        <w:t xml:space="preserve"> </w:t>
      </w:r>
      <w:r w:rsidR="00DF778D">
        <w:rPr>
          <w:rFonts w:cs="Arial"/>
        </w:rPr>
        <w:t xml:space="preserve">maar me in de praktijk te verdiepen, </w:t>
      </w:r>
      <w:r w:rsidR="00C6720D">
        <w:rPr>
          <w:rFonts w:cs="Arial"/>
        </w:rPr>
        <w:t xml:space="preserve">heb ik </w:t>
      </w:r>
      <w:r w:rsidR="00725D9D">
        <w:rPr>
          <w:rFonts w:cs="Arial"/>
        </w:rPr>
        <w:t>mij ter gelegenheid</w:t>
      </w:r>
      <w:r w:rsidR="00892ACD">
        <w:rPr>
          <w:rFonts w:cs="Arial"/>
        </w:rPr>
        <w:t xml:space="preserve"> van dit vriendenboek voor hem </w:t>
      </w:r>
      <w:r w:rsidR="00725D9D">
        <w:rPr>
          <w:rFonts w:cs="Arial"/>
        </w:rPr>
        <w:t xml:space="preserve">verdiept in de gestage verhoging van de boetes in het kader van het financieel toezicht. </w:t>
      </w:r>
      <w:r w:rsidR="00850AB9">
        <w:rPr>
          <w:rFonts w:cs="Arial"/>
        </w:rPr>
        <w:t>Waar komt dat geloof in de afschrikwekkende werking van hoge boetes vandaan? Welke visie op rechtshandhaving ligt daaraan ten grondslag? Voor welk probleem is dit de oplossing?</w:t>
      </w:r>
      <w:r w:rsidR="00BC06BB">
        <w:rPr>
          <w:rFonts w:cs="Arial"/>
        </w:rPr>
        <w:t xml:space="preserve"> </w:t>
      </w:r>
      <w:r w:rsidR="007643A4">
        <w:rPr>
          <w:rFonts w:cs="Arial"/>
        </w:rPr>
        <w:t>Lopen wetgeving en toezicht</w:t>
      </w:r>
      <w:r w:rsidR="007A6768">
        <w:rPr>
          <w:rFonts w:cs="Arial"/>
        </w:rPr>
        <w:t>praktijk zo niet steeds verder uit de pas? D</w:t>
      </w:r>
      <w:r w:rsidR="00BC06BB">
        <w:rPr>
          <w:rFonts w:cs="Arial"/>
        </w:rPr>
        <w:t xml:space="preserve">e roep om strenger straffen </w:t>
      </w:r>
      <w:r w:rsidR="007A6768">
        <w:rPr>
          <w:rFonts w:cs="Arial"/>
        </w:rPr>
        <w:t xml:space="preserve">was immers </w:t>
      </w:r>
      <w:r w:rsidR="00C86968">
        <w:rPr>
          <w:rFonts w:cs="Arial"/>
        </w:rPr>
        <w:t>niet afkomstig van de financiële</w:t>
      </w:r>
      <w:r w:rsidR="00BC06BB">
        <w:rPr>
          <w:rFonts w:cs="Arial"/>
        </w:rPr>
        <w:t xml:space="preserve"> toezichthouders, </w:t>
      </w:r>
      <w:r w:rsidR="00AE5377">
        <w:rPr>
          <w:rFonts w:cs="Arial"/>
        </w:rPr>
        <w:t xml:space="preserve">de </w:t>
      </w:r>
      <w:r w:rsidR="00BC06BB">
        <w:rPr>
          <w:rFonts w:cs="Arial"/>
        </w:rPr>
        <w:t xml:space="preserve">AFM en DNB. </w:t>
      </w:r>
    </w:p>
    <w:p w14:paraId="6F5C1553" w14:textId="77777777" w:rsidR="00946EA1" w:rsidRDefault="00946EA1">
      <w:pPr>
        <w:rPr>
          <w:rFonts w:cs="Arial"/>
        </w:rPr>
      </w:pPr>
    </w:p>
    <w:p w14:paraId="1F71A627" w14:textId="278BEFBB" w:rsidR="0095159E" w:rsidRPr="0095159E" w:rsidRDefault="0095159E">
      <w:pPr>
        <w:rPr>
          <w:rFonts w:cs="Arial"/>
          <w:i/>
        </w:rPr>
      </w:pPr>
      <w:r w:rsidRPr="0095159E">
        <w:rPr>
          <w:rFonts w:cs="Arial"/>
          <w:i/>
        </w:rPr>
        <w:t>Werkwijze</w:t>
      </w:r>
    </w:p>
    <w:p w14:paraId="21EECA3C" w14:textId="0C401E3C" w:rsidR="005975FC" w:rsidRPr="00F85790" w:rsidRDefault="00946EA1">
      <w:pPr>
        <w:rPr>
          <w:rFonts w:cs="Arial"/>
          <w:color w:val="000000" w:themeColor="text1"/>
        </w:rPr>
      </w:pPr>
      <w:r>
        <w:rPr>
          <w:rFonts w:cs="Arial"/>
        </w:rPr>
        <w:t xml:space="preserve">Om een antwoord te krijgen op deze </w:t>
      </w:r>
      <w:r w:rsidR="00E21D2F">
        <w:rPr>
          <w:rFonts w:cs="Arial"/>
        </w:rPr>
        <w:t xml:space="preserve">vragen heb ik mij verdiept in de beleids- en kamerstukken en heb ik vraaggesprekken gevoerd met een tweetal ambtenaren </w:t>
      </w:r>
      <w:r w:rsidR="0057310B">
        <w:rPr>
          <w:rFonts w:cs="Arial"/>
        </w:rPr>
        <w:t xml:space="preserve">van het ministerie van Financiën </w:t>
      </w:r>
      <w:r w:rsidR="00E21D2F">
        <w:rPr>
          <w:rFonts w:cs="Arial"/>
        </w:rPr>
        <w:t xml:space="preserve">die nauw betrokken waren bij de totstandkoming van het </w:t>
      </w:r>
      <w:r w:rsidR="008B3712">
        <w:rPr>
          <w:rFonts w:cs="Arial"/>
        </w:rPr>
        <w:t xml:space="preserve">wetsvoorstel. </w:t>
      </w:r>
      <w:r w:rsidR="005975FC">
        <w:rPr>
          <w:rFonts w:cs="Arial"/>
        </w:rPr>
        <w:t xml:space="preserve">Verder </w:t>
      </w:r>
      <w:r w:rsidR="008B3712">
        <w:rPr>
          <w:rFonts w:cs="Arial"/>
        </w:rPr>
        <w:t xml:space="preserve">heb ik gesproken </w:t>
      </w:r>
      <w:r w:rsidR="007A477C">
        <w:rPr>
          <w:rFonts w:cs="Arial"/>
        </w:rPr>
        <w:t xml:space="preserve">met </w:t>
      </w:r>
      <w:r w:rsidR="00E21D2F">
        <w:rPr>
          <w:rFonts w:cs="Arial"/>
        </w:rPr>
        <w:t>Tweede Kamerleden die het woord hebben gevoerd bij de behandeling van het wetsvoorstel.</w:t>
      </w:r>
      <w:r w:rsidR="00E21D2F">
        <w:rPr>
          <w:rStyle w:val="FootnoteReference"/>
          <w:rFonts w:cs="Arial"/>
        </w:rPr>
        <w:footnoteReference w:id="6"/>
      </w:r>
      <w:r w:rsidR="00E21D2F">
        <w:rPr>
          <w:rFonts w:cs="Arial"/>
        </w:rPr>
        <w:t xml:space="preserve"> </w:t>
      </w:r>
      <w:r w:rsidR="005975FC" w:rsidRPr="00F85790">
        <w:rPr>
          <w:rFonts w:cs="Arial"/>
          <w:color w:val="000000" w:themeColor="text1"/>
        </w:rPr>
        <w:t xml:space="preserve">Ook </w:t>
      </w:r>
      <w:r w:rsidR="00F904D0" w:rsidRPr="00F85790">
        <w:rPr>
          <w:rFonts w:cs="Arial"/>
          <w:color w:val="000000" w:themeColor="text1"/>
        </w:rPr>
        <w:t xml:space="preserve">heb ik de recente boetepraktijk van </w:t>
      </w:r>
      <w:r w:rsidR="00F904D0" w:rsidRPr="00F85790">
        <w:rPr>
          <w:rFonts w:cs="Arial"/>
          <w:color w:val="000000" w:themeColor="text1"/>
        </w:rPr>
        <w:lastRenderedPageBreak/>
        <w:t>de AFM en DNB onder de loep genomen. B</w:t>
      </w:r>
      <w:r w:rsidR="00E21D2F" w:rsidRPr="00F85790">
        <w:rPr>
          <w:rFonts w:cs="Arial"/>
          <w:color w:val="000000" w:themeColor="text1"/>
        </w:rPr>
        <w:t xml:space="preserve">ij mijn analyse </w:t>
      </w:r>
      <w:r w:rsidR="00F904D0" w:rsidRPr="00F85790">
        <w:rPr>
          <w:rFonts w:cs="Arial"/>
          <w:color w:val="000000" w:themeColor="text1"/>
        </w:rPr>
        <w:t xml:space="preserve">heb ik </w:t>
      </w:r>
      <w:r w:rsidR="00E21D2F" w:rsidRPr="00F85790">
        <w:rPr>
          <w:rFonts w:cs="Arial"/>
          <w:color w:val="000000" w:themeColor="text1"/>
        </w:rPr>
        <w:t xml:space="preserve">gebruik gemaakt van relevante literatuur en </w:t>
      </w:r>
      <w:r w:rsidR="007643A4" w:rsidRPr="00F85790">
        <w:rPr>
          <w:rFonts w:cs="Arial"/>
          <w:color w:val="000000" w:themeColor="text1"/>
        </w:rPr>
        <w:t>rapporten</w:t>
      </w:r>
      <w:r w:rsidR="00F904D0" w:rsidRPr="00F85790">
        <w:rPr>
          <w:rFonts w:cs="Arial"/>
          <w:color w:val="000000" w:themeColor="text1"/>
        </w:rPr>
        <w:t>.</w:t>
      </w:r>
      <w:r w:rsidR="00E642D5" w:rsidRPr="00F85790">
        <w:rPr>
          <w:rFonts w:cs="Arial"/>
          <w:color w:val="000000" w:themeColor="text1"/>
        </w:rPr>
        <w:t xml:space="preserve"> </w:t>
      </w:r>
    </w:p>
    <w:p w14:paraId="63733F14" w14:textId="77777777" w:rsidR="00576811" w:rsidRPr="00F85790" w:rsidRDefault="00576811">
      <w:pPr>
        <w:rPr>
          <w:rFonts w:cs="Arial"/>
          <w:color w:val="000000" w:themeColor="text1"/>
        </w:rPr>
      </w:pPr>
    </w:p>
    <w:p w14:paraId="483CE8F3" w14:textId="707C2AA6" w:rsidR="000E1363" w:rsidRPr="00F85790" w:rsidRDefault="0095159E">
      <w:pPr>
        <w:rPr>
          <w:rFonts w:cs="Arial"/>
          <w:color w:val="000000" w:themeColor="text1"/>
        </w:rPr>
      </w:pPr>
      <w:r w:rsidRPr="00F85790">
        <w:rPr>
          <w:rFonts w:cs="Arial"/>
          <w:color w:val="000000" w:themeColor="text1"/>
        </w:rPr>
        <w:t xml:space="preserve">Om te beginnen geef ik het hoe en waarom weer van de </w:t>
      </w:r>
      <w:r w:rsidR="00584D2D" w:rsidRPr="00F85790">
        <w:rPr>
          <w:rFonts w:cs="Arial"/>
          <w:color w:val="000000" w:themeColor="text1"/>
        </w:rPr>
        <w:t xml:space="preserve">boeteverhoging, om vervolgens </w:t>
      </w:r>
      <w:r w:rsidR="00B027AF" w:rsidRPr="00F85790">
        <w:rPr>
          <w:rFonts w:cs="Arial"/>
          <w:color w:val="000000" w:themeColor="text1"/>
        </w:rPr>
        <w:t xml:space="preserve">stil </w:t>
      </w:r>
      <w:r w:rsidR="00584D2D" w:rsidRPr="00F85790">
        <w:rPr>
          <w:rFonts w:cs="Arial"/>
          <w:color w:val="000000" w:themeColor="text1"/>
        </w:rPr>
        <w:t xml:space="preserve">te staan </w:t>
      </w:r>
      <w:r w:rsidR="00B027AF" w:rsidRPr="00F85790">
        <w:rPr>
          <w:rFonts w:cs="Arial"/>
          <w:color w:val="000000" w:themeColor="text1"/>
        </w:rPr>
        <w:t xml:space="preserve">bij </w:t>
      </w:r>
      <w:r w:rsidR="00FC0B05" w:rsidRPr="00F85790">
        <w:rPr>
          <w:rFonts w:cs="Arial"/>
          <w:color w:val="000000" w:themeColor="text1"/>
        </w:rPr>
        <w:t>de onderbouwing van de boeteverhoging in het betreffende wetsvoorstel.</w:t>
      </w:r>
      <w:r w:rsidR="00584D2D" w:rsidRPr="00F85790">
        <w:rPr>
          <w:rFonts w:cs="Arial"/>
          <w:color w:val="000000" w:themeColor="text1"/>
        </w:rPr>
        <w:t xml:space="preserve"> Daarn</w:t>
      </w:r>
      <w:r w:rsidR="005975FC" w:rsidRPr="00F85790">
        <w:rPr>
          <w:rFonts w:cs="Arial"/>
          <w:color w:val="000000" w:themeColor="text1"/>
        </w:rPr>
        <w:t xml:space="preserve">a ga ik nader in op </w:t>
      </w:r>
      <w:r w:rsidR="00584D2D" w:rsidRPr="00F85790">
        <w:rPr>
          <w:rFonts w:cs="Arial"/>
          <w:color w:val="000000" w:themeColor="text1"/>
        </w:rPr>
        <w:t xml:space="preserve">de afschrikkingsgedachte en de </w:t>
      </w:r>
      <w:r w:rsidR="005975FC" w:rsidRPr="00F85790">
        <w:rPr>
          <w:rFonts w:cs="Arial"/>
          <w:color w:val="000000" w:themeColor="text1"/>
        </w:rPr>
        <w:t xml:space="preserve">betrekkelijke </w:t>
      </w:r>
      <w:r w:rsidR="00584D2D" w:rsidRPr="00F85790">
        <w:rPr>
          <w:rFonts w:cs="Arial"/>
          <w:color w:val="000000" w:themeColor="text1"/>
        </w:rPr>
        <w:t>aantrekkingskracht daarvan.</w:t>
      </w:r>
      <w:r w:rsidR="005975FC" w:rsidRPr="00F85790">
        <w:rPr>
          <w:rFonts w:cs="Arial"/>
          <w:color w:val="000000" w:themeColor="text1"/>
        </w:rPr>
        <w:t xml:space="preserve"> Ik sluit af met een</w:t>
      </w:r>
      <w:r w:rsidR="00F85790">
        <w:rPr>
          <w:rFonts w:cs="Arial"/>
          <w:color w:val="000000" w:themeColor="text1"/>
        </w:rPr>
        <w:t xml:space="preserve"> korte</w:t>
      </w:r>
      <w:r w:rsidR="005975FC" w:rsidRPr="00F85790">
        <w:rPr>
          <w:rFonts w:cs="Arial"/>
          <w:color w:val="000000" w:themeColor="text1"/>
        </w:rPr>
        <w:t xml:space="preserve"> </w:t>
      </w:r>
      <w:r w:rsidR="00F85790">
        <w:rPr>
          <w:rFonts w:cs="Arial"/>
          <w:color w:val="000000" w:themeColor="text1"/>
        </w:rPr>
        <w:t xml:space="preserve">impressie </w:t>
      </w:r>
      <w:r w:rsidR="005975FC" w:rsidRPr="00F85790">
        <w:rPr>
          <w:rFonts w:cs="Arial"/>
          <w:color w:val="000000" w:themeColor="text1"/>
        </w:rPr>
        <w:t xml:space="preserve">van de </w:t>
      </w:r>
      <w:r w:rsidR="00EC658F" w:rsidRPr="00F85790">
        <w:rPr>
          <w:rFonts w:cs="Arial"/>
          <w:color w:val="000000" w:themeColor="text1"/>
        </w:rPr>
        <w:t>recente</w:t>
      </w:r>
      <w:r w:rsidR="005975FC" w:rsidRPr="00F85790">
        <w:rPr>
          <w:rFonts w:cs="Arial"/>
          <w:color w:val="000000" w:themeColor="text1"/>
        </w:rPr>
        <w:t xml:space="preserve"> boetepraktijk van de financiële toezichthouders. </w:t>
      </w:r>
    </w:p>
    <w:p w14:paraId="63C18CB7" w14:textId="77777777" w:rsidR="000E1363" w:rsidRPr="00F85790" w:rsidRDefault="000E1363">
      <w:pPr>
        <w:rPr>
          <w:rFonts w:cs="Arial"/>
          <w:color w:val="000000" w:themeColor="text1"/>
        </w:rPr>
      </w:pPr>
    </w:p>
    <w:p w14:paraId="47F96A7E" w14:textId="16C978F2" w:rsidR="009229C6" w:rsidRPr="00EC64B0" w:rsidRDefault="00EC64B0" w:rsidP="00EC64B0">
      <w:pPr>
        <w:pStyle w:val="ListParagraph"/>
        <w:numPr>
          <w:ilvl w:val="0"/>
          <w:numId w:val="1"/>
        </w:numPr>
        <w:rPr>
          <w:rFonts w:cs="Arial"/>
        </w:rPr>
      </w:pPr>
      <w:r w:rsidRPr="00F85790">
        <w:rPr>
          <w:rFonts w:cs="Arial"/>
          <w:color w:val="000000" w:themeColor="text1"/>
        </w:rPr>
        <w:t>De a</w:t>
      </w:r>
      <w:r w:rsidR="009229C6" w:rsidRPr="00F85790">
        <w:rPr>
          <w:rFonts w:cs="Arial"/>
          <w:color w:val="000000" w:themeColor="text1"/>
        </w:rPr>
        <w:t>anleiding</w:t>
      </w:r>
      <w:r w:rsidR="00511576" w:rsidRPr="00F85790">
        <w:rPr>
          <w:rFonts w:cs="Arial"/>
          <w:color w:val="000000" w:themeColor="text1"/>
        </w:rPr>
        <w:t xml:space="preserve"> tot de verhoging van het boetemaximum</w:t>
      </w:r>
      <w:r w:rsidR="00511576">
        <w:rPr>
          <w:rFonts w:cs="Arial"/>
        </w:rPr>
        <w:t>:</w:t>
      </w:r>
      <w:r w:rsidR="000E1363" w:rsidRPr="00EC64B0">
        <w:rPr>
          <w:rFonts w:cs="Arial"/>
        </w:rPr>
        <w:t xml:space="preserve"> harmonisatie en afschrikking</w:t>
      </w:r>
    </w:p>
    <w:p w14:paraId="34D20867" w14:textId="77777777" w:rsidR="00EC64B0" w:rsidRPr="00EC64B0" w:rsidRDefault="00EC64B0" w:rsidP="00EC64B0">
      <w:pPr>
        <w:pStyle w:val="ListParagraph"/>
        <w:rPr>
          <w:rFonts w:cs="Arial"/>
          <w:i/>
        </w:rPr>
      </w:pPr>
    </w:p>
    <w:p w14:paraId="1F6462E3" w14:textId="2AA87DF3" w:rsidR="0095159E" w:rsidRPr="0095159E" w:rsidRDefault="0095159E">
      <w:pPr>
        <w:rPr>
          <w:rFonts w:cs="Arial"/>
          <w:i/>
        </w:rPr>
      </w:pPr>
      <w:r w:rsidRPr="0095159E">
        <w:rPr>
          <w:rFonts w:cs="Arial"/>
          <w:i/>
        </w:rPr>
        <w:t>H</w:t>
      </w:r>
      <w:r>
        <w:rPr>
          <w:rFonts w:cs="Arial"/>
          <w:i/>
        </w:rPr>
        <w:t>erziening boetestels</w:t>
      </w:r>
      <w:r w:rsidRPr="0095159E">
        <w:rPr>
          <w:rFonts w:cs="Arial"/>
          <w:i/>
        </w:rPr>
        <w:t>el</w:t>
      </w:r>
      <w:r>
        <w:rPr>
          <w:rFonts w:cs="Arial"/>
          <w:i/>
        </w:rPr>
        <w:t xml:space="preserve"> financieel toezicht</w:t>
      </w:r>
    </w:p>
    <w:p w14:paraId="1C44463D" w14:textId="77777777" w:rsidR="00B7740B" w:rsidRDefault="00CC32A5">
      <w:pPr>
        <w:rPr>
          <w:rFonts w:cs="Arial"/>
        </w:rPr>
      </w:pPr>
      <w:r>
        <w:rPr>
          <w:rFonts w:cs="Arial"/>
        </w:rPr>
        <w:t xml:space="preserve">De </w:t>
      </w:r>
      <w:r w:rsidR="00BB74BA">
        <w:rPr>
          <w:rFonts w:cs="Arial"/>
        </w:rPr>
        <w:t xml:space="preserve">verhoging van het boetemaximum </w:t>
      </w:r>
      <w:r w:rsidR="000A23D4">
        <w:rPr>
          <w:rFonts w:cs="Arial"/>
        </w:rPr>
        <w:t xml:space="preserve">in de </w:t>
      </w:r>
      <w:proofErr w:type="spellStart"/>
      <w:r w:rsidR="000A23D4">
        <w:rPr>
          <w:rFonts w:cs="Arial"/>
        </w:rPr>
        <w:t>Wft</w:t>
      </w:r>
      <w:proofErr w:type="spellEnd"/>
      <w:r w:rsidR="000A23D4">
        <w:rPr>
          <w:rFonts w:cs="Arial"/>
        </w:rPr>
        <w:t xml:space="preserve"> </w:t>
      </w:r>
      <w:r w:rsidR="004858D3">
        <w:rPr>
          <w:rFonts w:cs="Arial"/>
        </w:rPr>
        <w:t xml:space="preserve">maakte </w:t>
      </w:r>
      <w:r w:rsidR="00810218">
        <w:rPr>
          <w:rFonts w:cs="Arial"/>
        </w:rPr>
        <w:t xml:space="preserve">deel </w:t>
      </w:r>
      <w:r w:rsidR="00A81AC4">
        <w:rPr>
          <w:rFonts w:cs="Arial"/>
        </w:rPr>
        <w:t xml:space="preserve">uit </w:t>
      </w:r>
      <w:r w:rsidR="00974F07">
        <w:rPr>
          <w:rFonts w:cs="Arial"/>
        </w:rPr>
        <w:t xml:space="preserve">van </w:t>
      </w:r>
      <w:r w:rsidR="004858D3">
        <w:rPr>
          <w:rFonts w:cs="Arial"/>
        </w:rPr>
        <w:t xml:space="preserve">een meeromvattend </w:t>
      </w:r>
      <w:r w:rsidR="00810218">
        <w:rPr>
          <w:rFonts w:cs="Arial"/>
        </w:rPr>
        <w:t>wetsvoorstel tot implementatie van de Verordening en Richtlijn marktmisbruik.</w:t>
      </w:r>
      <w:r w:rsidR="00810218">
        <w:rPr>
          <w:rStyle w:val="FootnoteReference"/>
          <w:rFonts w:cs="Arial"/>
        </w:rPr>
        <w:footnoteReference w:id="7"/>
      </w:r>
      <w:r w:rsidR="00810218">
        <w:rPr>
          <w:rFonts w:cs="Arial"/>
        </w:rPr>
        <w:t xml:space="preserve"> </w:t>
      </w:r>
      <w:r w:rsidR="00974F07">
        <w:rPr>
          <w:rFonts w:cs="Arial"/>
        </w:rPr>
        <w:t>Di</w:t>
      </w:r>
      <w:r w:rsidR="001F7CCB">
        <w:rPr>
          <w:rFonts w:cs="Arial"/>
        </w:rPr>
        <w:t xml:space="preserve">e Verordening </w:t>
      </w:r>
      <w:r w:rsidR="00974F07">
        <w:rPr>
          <w:rFonts w:cs="Arial"/>
        </w:rPr>
        <w:t xml:space="preserve">schrijft </w:t>
      </w:r>
      <w:r w:rsidR="003F7E69">
        <w:rPr>
          <w:rFonts w:cs="Arial"/>
        </w:rPr>
        <w:t xml:space="preserve">onder meer voor welke (maximum)boetes de toezichthouders moeten kunnen opleggen. </w:t>
      </w:r>
      <w:r w:rsidR="00AA1CF9">
        <w:rPr>
          <w:rFonts w:cs="Arial"/>
        </w:rPr>
        <w:t xml:space="preserve">Omdat </w:t>
      </w:r>
      <w:r w:rsidR="00684FF4">
        <w:rPr>
          <w:rFonts w:cs="Arial"/>
        </w:rPr>
        <w:t xml:space="preserve">vergelijkbare bepalingen ook </w:t>
      </w:r>
      <w:r w:rsidR="00ED673A">
        <w:rPr>
          <w:rFonts w:cs="Arial"/>
        </w:rPr>
        <w:t xml:space="preserve">al </w:t>
      </w:r>
      <w:r w:rsidR="00064385">
        <w:rPr>
          <w:rFonts w:cs="Arial"/>
        </w:rPr>
        <w:t>voorkwamen in andere</w:t>
      </w:r>
      <w:r w:rsidR="00684FF4">
        <w:rPr>
          <w:rFonts w:cs="Arial"/>
        </w:rPr>
        <w:t xml:space="preserve"> </w:t>
      </w:r>
    </w:p>
    <w:p w14:paraId="355C4259" w14:textId="024760C4" w:rsidR="000F6E46" w:rsidRDefault="00684FF4">
      <w:pPr>
        <w:rPr>
          <w:rFonts w:cs="Arial"/>
        </w:rPr>
      </w:pPr>
      <w:r>
        <w:rPr>
          <w:rFonts w:cs="Arial"/>
        </w:rPr>
        <w:t xml:space="preserve">EU-Verordeningen en Richtlijnen en de </w:t>
      </w:r>
      <w:proofErr w:type="spellStart"/>
      <w:r>
        <w:rPr>
          <w:rFonts w:cs="Arial"/>
        </w:rPr>
        <w:t>Wft</w:t>
      </w:r>
      <w:proofErr w:type="spellEnd"/>
      <w:r>
        <w:rPr>
          <w:rFonts w:cs="Arial"/>
        </w:rPr>
        <w:t xml:space="preserve"> hieraan telkens moest worden aangepast,</w:t>
      </w:r>
      <w:r w:rsidR="00ED673A">
        <w:rPr>
          <w:rFonts w:cs="Arial"/>
        </w:rPr>
        <w:t xml:space="preserve"> </w:t>
      </w:r>
      <w:r>
        <w:rPr>
          <w:rFonts w:cs="Arial"/>
        </w:rPr>
        <w:t>heeft d</w:t>
      </w:r>
      <w:r w:rsidR="007643A4">
        <w:rPr>
          <w:rFonts w:cs="Arial"/>
        </w:rPr>
        <w:t xml:space="preserve">e minister van Financiën </w:t>
      </w:r>
      <w:r w:rsidR="00C5461D">
        <w:rPr>
          <w:rFonts w:cs="Arial"/>
        </w:rPr>
        <w:t xml:space="preserve">deze gelegenheid aangegrepen om het boetestelsel in de </w:t>
      </w:r>
      <w:proofErr w:type="spellStart"/>
      <w:r w:rsidR="00C5461D">
        <w:rPr>
          <w:rFonts w:cs="Arial"/>
        </w:rPr>
        <w:t>Wft</w:t>
      </w:r>
      <w:proofErr w:type="spellEnd"/>
      <w:r w:rsidR="00C5461D">
        <w:rPr>
          <w:rFonts w:cs="Arial"/>
        </w:rPr>
        <w:t xml:space="preserve"> </w:t>
      </w:r>
      <w:r w:rsidR="00C77FA8">
        <w:rPr>
          <w:rFonts w:cs="Arial"/>
        </w:rPr>
        <w:t>integraal te herzien.</w:t>
      </w:r>
      <w:r w:rsidR="00C77FA8">
        <w:rPr>
          <w:rStyle w:val="FootnoteReference"/>
          <w:rFonts w:cs="Arial"/>
        </w:rPr>
        <w:footnoteReference w:id="8"/>
      </w:r>
      <w:r w:rsidR="00637FE8">
        <w:rPr>
          <w:rFonts w:cs="Arial"/>
        </w:rPr>
        <w:t xml:space="preserve"> </w:t>
      </w:r>
      <w:r w:rsidR="00E020EF">
        <w:rPr>
          <w:rFonts w:cs="Arial"/>
        </w:rPr>
        <w:t xml:space="preserve">Aldus </w:t>
      </w:r>
      <w:r w:rsidR="00AD4D27">
        <w:rPr>
          <w:rFonts w:cs="Arial"/>
        </w:rPr>
        <w:t xml:space="preserve">kon </w:t>
      </w:r>
      <w:r w:rsidR="00C77FA8">
        <w:rPr>
          <w:rFonts w:cs="Arial"/>
        </w:rPr>
        <w:t xml:space="preserve">volgens de minister een ‘toekomstbestendig, overzichtelijk en consistent handhavingsinstrumentarium’ </w:t>
      </w:r>
      <w:r w:rsidR="00AD4D27">
        <w:rPr>
          <w:rFonts w:cs="Arial"/>
        </w:rPr>
        <w:t xml:space="preserve">worden </w:t>
      </w:r>
      <w:r w:rsidR="00C77FA8">
        <w:rPr>
          <w:rFonts w:cs="Arial"/>
        </w:rPr>
        <w:t xml:space="preserve">gecreëerd. </w:t>
      </w:r>
      <w:r w:rsidR="00E76178">
        <w:rPr>
          <w:rFonts w:cs="Arial"/>
        </w:rPr>
        <w:t>De herziening van</w:t>
      </w:r>
      <w:r w:rsidR="00AD4D27">
        <w:rPr>
          <w:rFonts w:cs="Arial"/>
        </w:rPr>
        <w:t xml:space="preserve"> het boetestelsel komt in de kern </w:t>
      </w:r>
      <w:r w:rsidR="00E76178">
        <w:rPr>
          <w:rFonts w:cs="Arial"/>
        </w:rPr>
        <w:t>neer op e</w:t>
      </w:r>
      <w:r w:rsidR="00974F07">
        <w:rPr>
          <w:rFonts w:cs="Arial"/>
        </w:rPr>
        <w:t>en</w:t>
      </w:r>
      <w:r w:rsidR="00E76178">
        <w:rPr>
          <w:rFonts w:cs="Arial"/>
        </w:rPr>
        <w:t xml:space="preserve"> </w:t>
      </w:r>
      <w:r w:rsidR="00D91A2C">
        <w:rPr>
          <w:rFonts w:cs="Arial"/>
        </w:rPr>
        <w:t xml:space="preserve">verhoging van het </w:t>
      </w:r>
      <w:r w:rsidR="00A13E35">
        <w:rPr>
          <w:rFonts w:cs="Arial"/>
        </w:rPr>
        <w:t>maximum</w:t>
      </w:r>
      <w:r w:rsidR="00D91A2C">
        <w:rPr>
          <w:rFonts w:cs="Arial"/>
        </w:rPr>
        <w:t xml:space="preserve"> van de op te leggen boetes voor </w:t>
      </w:r>
      <w:r w:rsidR="00B35C8E">
        <w:rPr>
          <w:rFonts w:cs="Arial"/>
        </w:rPr>
        <w:t xml:space="preserve">alle </w:t>
      </w:r>
      <w:r w:rsidR="00D91A2C">
        <w:rPr>
          <w:rFonts w:cs="Arial"/>
        </w:rPr>
        <w:t xml:space="preserve">ernstige overtredingen (boetecategorie 3) </w:t>
      </w:r>
      <w:r w:rsidR="00B35C8E">
        <w:rPr>
          <w:rFonts w:cs="Arial"/>
        </w:rPr>
        <w:t xml:space="preserve">van de </w:t>
      </w:r>
      <w:proofErr w:type="spellStart"/>
      <w:r w:rsidR="00B35C8E">
        <w:rPr>
          <w:rFonts w:cs="Arial"/>
        </w:rPr>
        <w:t>Wft</w:t>
      </w:r>
      <w:proofErr w:type="spellEnd"/>
      <w:r w:rsidR="00B35C8E">
        <w:rPr>
          <w:rFonts w:cs="Arial"/>
        </w:rPr>
        <w:t xml:space="preserve"> (dus </w:t>
      </w:r>
      <w:r w:rsidR="009F3E54">
        <w:rPr>
          <w:rFonts w:cs="Arial"/>
        </w:rPr>
        <w:t xml:space="preserve">niet </w:t>
      </w:r>
      <w:r w:rsidR="00B35C8E">
        <w:rPr>
          <w:rFonts w:cs="Arial"/>
        </w:rPr>
        <w:t xml:space="preserve">alleen marktmisbruik) </w:t>
      </w:r>
      <w:r w:rsidR="00D91A2C">
        <w:rPr>
          <w:rFonts w:cs="Arial"/>
        </w:rPr>
        <w:t xml:space="preserve">van 4 naar 5 miljoen euro (en naar 10 miljoen in geval van recidive) en, als de jaaromzet van de overtreder meer dan 100 miljoen bedraagt, </w:t>
      </w:r>
      <w:r w:rsidR="00AD4D27">
        <w:rPr>
          <w:rFonts w:cs="Arial"/>
        </w:rPr>
        <w:t xml:space="preserve">de introductie van </w:t>
      </w:r>
      <w:r w:rsidR="00D91A2C">
        <w:rPr>
          <w:rFonts w:cs="Arial"/>
        </w:rPr>
        <w:t xml:space="preserve">een </w:t>
      </w:r>
      <w:proofErr w:type="spellStart"/>
      <w:r w:rsidR="00D91A2C">
        <w:rPr>
          <w:rFonts w:cs="Arial"/>
        </w:rPr>
        <w:t>omzetgerelateerde</w:t>
      </w:r>
      <w:proofErr w:type="spellEnd"/>
      <w:r w:rsidR="00D91A2C">
        <w:rPr>
          <w:rFonts w:cs="Arial"/>
        </w:rPr>
        <w:t xml:space="preserve"> boete van maximaal 10% van</w:t>
      </w:r>
      <w:r w:rsidR="005777FC">
        <w:rPr>
          <w:rFonts w:cs="Arial"/>
        </w:rPr>
        <w:t xml:space="preserve"> die omzet</w:t>
      </w:r>
      <w:r w:rsidR="00D91A2C">
        <w:rPr>
          <w:rFonts w:cs="Arial"/>
        </w:rPr>
        <w:t>.</w:t>
      </w:r>
      <w:r w:rsidR="00DA0606">
        <w:rPr>
          <w:rStyle w:val="FootnoteReference"/>
          <w:rFonts w:cs="Arial"/>
        </w:rPr>
        <w:footnoteReference w:id="9"/>
      </w:r>
      <w:r w:rsidR="00D91A2C">
        <w:rPr>
          <w:rFonts w:cs="Arial"/>
        </w:rPr>
        <w:t xml:space="preserve"> </w:t>
      </w:r>
      <w:r w:rsidR="00637FE8">
        <w:rPr>
          <w:rFonts w:cs="Arial"/>
        </w:rPr>
        <w:t xml:space="preserve">Een </w:t>
      </w:r>
      <w:proofErr w:type="spellStart"/>
      <w:r w:rsidR="00637FE8">
        <w:rPr>
          <w:rFonts w:cs="Arial"/>
        </w:rPr>
        <w:t>omzetgerelateerde</w:t>
      </w:r>
      <w:proofErr w:type="spellEnd"/>
      <w:r w:rsidR="00637FE8">
        <w:rPr>
          <w:rFonts w:cs="Arial"/>
        </w:rPr>
        <w:t xml:space="preserve"> boete </w:t>
      </w:r>
      <w:r w:rsidR="0004099A">
        <w:rPr>
          <w:rFonts w:cs="Arial"/>
        </w:rPr>
        <w:t xml:space="preserve">in het bestuursrecht </w:t>
      </w:r>
      <w:r w:rsidR="00CC32A5">
        <w:rPr>
          <w:rFonts w:cs="Arial"/>
        </w:rPr>
        <w:t xml:space="preserve">is </w:t>
      </w:r>
      <w:r w:rsidR="00B83A08">
        <w:rPr>
          <w:rFonts w:cs="Arial"/>
        </w:rPr>
        <w:t xml:space="preserve">overigens </w:t>
      </w:r>
      <w:r w:rsidR="00CC32A5">
        <w:rPr>
          <w:rFonts w:cs="Arial"/>
        </w:rPr>
        <w:t xml:space="preserve">niet nieuw, die </w:t>
      </w:r>
      <w:r w:rsidR="00637FE8">
        <w:rPr>
          <w:rFonts w:cs="Arial"/>
        </w:rPr>
        <w:t xml:space="preserve">bestond al </w:t>
      </w:r>
      <w:r w:rsidR="00CC32A5">
        <w:rPr>
          <w:rFonts w:cs="Arial"/>
        </w:rPr>
        <w:t xml:space="preserve">veel </w:t>
      </w:r>
      <w:r w:rsidR="00910ADE">
        <w:rPr>
          <w:rFonts w:cs="Arial"/>
        </w:rPr>
        <w:t xml:space="preserve">langer </w:t>
      </w:r>
      <w:r w:rsidR="00637FE8">
        <w:rPr>
          <w:rFonts w:cs="Arial"/>
        </w:rPr>
        <w:t>in het Meded</w:t>
      </w:r>
      <w:r w:rsidR="00F3440E">
        <w:rPr>
          <w:rFonts w:cs="Arial"/>
        </w:rPr>
        <w:t xml:space="preserve">ingingsrecht en </w:t>
      </w:r>
      <w:r w:rsidR="00E52349">
        <w:rPr>
          <w:rFonts w:cs="Arial"/>
        </w:rPr>
        <w:t xml:space="preserve">kent </w:t>
      </w:r>
      <w:r w:rsidR="00F3440E">
        <w:rPr>
          <w:rFonts w:cs="Arial"/>
        </w:rPr>
        <w:t>sind</w:t>
      </w:r>
      <w:r w:rsidR="00E52349">
        <w:rPr>
          <w:rFonts w:cs="Arial"/>
        </w:rPr>
        <w:t>s kort ook zijn pendant</w:t>
      </w:r>
      <w:r w:rsidR="00F3440E">
        <w:rPr>
          <w:rFonts w:cs="Arial"/>
        </w:rPr>
        <w:t xml:space="preserve"> i</w:t>
      </w:r>
      <w:r w:rsidR="00637FE8">
        <w:rPr>
          <w:rFonts w:cs="Arial"/>
        </w:rPr>
        <w:t>n het Wetboek van Strafrecht</w:t>
      </w:r>
      <w:r w:rsidR="00910ADE">
        <w:rPr>
          <w:rFonts w:cs="Arial"/>
        </w:rPr>
        <w:t>.</w:t>
      </w:r>
      <w:r w:rsidR="00637FE8">
        <w:rPr>
          <w:rStyle w:val="FootnoteReference"/>
          <w:rFonts w:cs="Arial"/>
        </w:rPr>
        <w:footnoteReference w:id="10"/>
      </w:r>
      <w:r w:rsidR="00637FE8">
        <w:rPr>
          <w:rFonts w:cs="Arial"/>
        </w:rPr>
        <w:t xml:space="preserve"> </w:t>
      </w:r>
    </w:p>
    <w:p w14:paraId="684A5BF9" w14:textId="77777777" w:rsidR="009F6EE0" w:rsidRPr="00A04CD7" w:rsidRDefault="009F6EE0">
      <w:pPr>
        <w:rPr>
          <w:rFonts w:cs="Arial"/>
          <w:color w:val="FF0000"/>
        </w:rPr>
      </w:pPr>
    </w:p>
    <w:p w14:paraId="46772FE7" w14:textId="31F0C8F9" w:rsidR="009229C6" w:rsidRDefault="0011251B">
      <w:pPr>
        <w:rPr>
          <w:rFonts w:cs="Arial"/>
        </w:rPr>
      </w:pPr>
      <w:r>
        <w:rPr>
          <w:rFonts w:cs="Arial"/>
        </w:rPr>
        <w:t xml:space="preserve">Volgens de minister passen deze hoge boetes </w:t>
      </w:r>
      <w:r w:rsidR="00B83A08">
        <w:rPr>
          <w:rFonts w:cs="Arial"/>
        </w:rPr>
        <w:t>b</w:t>
      </w:r>
      <w:r>
        <w:rPr>
          <w:rFonts w:cs="Arial"/>
        </w:rPr>
        <w:t>ij de ernst van de overtredingen</w:t>
      </w:r>
      <w:r w:rsidR="00AD4D27">
        <w:rPr>
          <w:rFonts w:cs="Arial"/>
        </w:rPr>
        <w:t xml:space="preserve"> (</w:t>
      </w:r>
      <w:r w:rsidR="00E52349">
        <w:rPr>
          <w:rFonts w:cs="Arial"/>
        </w:rPr>
        <w:t xml:space="preserve">o.a. </w:t>
      </w:r>
      <w:r w:rsidR="00AD4D27">
        <w:rPr>
          <w:rFonts w:cs="Arial"/>
        </w:rPr>
        <w:t>marktmisbruik)</w:t>
      </w:r>
      <w:r>
        <w:rPr>
          <w:rFonts w:cs="Arial"/>
        </w:rPr>
        <w:t xml:space="preserve">, die </w:t>
      </w:r>
      <w:r w:rsidR="00CF1725">
        <w:rPr>
          <w:rFonts w:cs="Arial"/>
        </w:rPr>
        <w:t>niet alleen e</w:t>
      </w:r>
      <w:r>
        <w:rPr>
          <w:rFonts w:cs="Arial"/>
        </w:rPr>
        <w:t xml:space="preserve">en directe aantasting </w:t>
      </w:r>
      <w:r w:rsidR="00AD4D27">
        <w:rPr>
          <w:rFonts w:cs="Arial"/>
        </w:rPr>
        <w:t xml:space="preserve">zouden </w:t>
      </w:r>
      <w:r w:rsidR="00CF1725">
        <w:rPr>
          <w:rFonts w:cs="Arial"/>
        </w:rPr>
        <w:t xml:space="preserve">vormen van </w:t>
      </w:r>
      <w:r>
        <w:rPr>
          <w:rFonts w:cs="Arial"/>
        </w:rPr>
        <w:t xml:space="preserve">de </w:t>
      </w:r>
      <w:r w:rsidR="00CC32A5">
        <w:rPr>
          <w:rFonts w:cs="Arial"/>
        </w:rPr>
        <w:t xml:space="preserve">zogenoemde </w:t>
      </w:r>
      <w:r>
        <w:rPr>
          <w:rFonts w:cs="Arial"/>
        </w:rPr>
        <w:t>soliditeit van financiële ondernemingen en de stabiliteit en integriteit van de financiële</w:t>
      </w:r>
      <w:r w:rsidR="00CF1725">
        <w:rPr>
          <w:rFonts w:cs="Arial"/>
        </w:rPr>
        <w:t xml:space="preserve"> sector, maar ook een bedreiging voor </w:t>
      </w:r>
      <w:r>
        <w:rPr>
          <w:rFonts w:cs="Arial"/>
        </w:rPr>
        <w:t>ordelijke en transparante marktprocessen, zuivere verho</w:t>
      </w:r>
      <w:r w:rsidR="00CF1725">
        <w:rPr>
          <w:rFonts w:cs="Arial"/>
        </w:rPr>
        <w:t xml:space="preserve">udingen tussen marktpartijen en </w:t>
      </w:r>
      <w:r>
        <w:rPr>
          <w:rFonts w:cs="Arial"/>
        </w:rPr>
        <w:t xml:space="preserve">een zorgvuldige behandeling van cliënten. </w:t>
      </w:r>
      <w:r w:rsidR="001C69BA">
        <w:rPr>
          <w:rFonts w:cs="Arial"/>
        </w:rPr>
        <w:t>Volgens de minister moeten de betreffende straffen ‘voldoende afsch</w:t>
      </w:r>
      <w:r w:rsidR="00CC32A5">
        <w:rPr>
          <w:rFonts w:cs="Arial"/>
        </w:rPr>
        <w:t>r</w:t>
      </w:r>
      <w:r w:rsidR="00EC64B0">
        <w:rPr>
          <w:rFonts w:cs="Arial"/>
        </w:rPr>
        <w:t xml:space="preserve">ikwekkende werking’ hebben. Ze sluiten zo </w:t>
      </w:r>
      <w:r w:rsidR="00CC32A5">
        <w:rPr>
          <w:rFonts w:cs="Arial"/>
        </w:rPr>
        <w:t xml:space="preserve">beter aan </w:t>
      </w:r>
      <w:r w:rsidR="001C69BA">
        <w:rPr>
          <w:rFonts w:cs="Arial"/>
        </w:rPr>
        <w:t xml:space="preserve">bij </w:t>
      </w:r>
      <w:r w:rsidR="00CC32A5">
        <w:rPr>
          <w:rFonts w:cs="Arial"/>
        </w:rPr>
        <w:t xml:space="preserve">de </w:t>
      </w:r>
      <w:r w:rsidR="00AD4D27">
        <w:rPr>
          <w:rFonts w:cs="Arial"/>
        </w:rPr>
        <w:t xml:space="preserve">omvangrijke draagkracht van bepaalde ondernemingen die </w:t>
      </w:r>
      <w:r w:rsidR="001C69BA">
        <w:rPr>
          <w:rFonts w:cs="Arial"/>
        </w:rPr>
        <w:t xml:space="preserve">op de </w:t>
      </w:r>
      <w:r w:rsidR="00AD4D27">
        <w:rPr>
          <w:rFonts w:cs="Arial"/>
        </w:rPr>
        <w:t xml:space="preserve">financiële markten </w:t>
      </w:r>
      <w:r w:rsidR="001C69BA">
        <w:rPr>
          <w:rFonts w:cs="Arial"/>
        </w:rPr>
        <w:t>actief zijn.</w:t>
      </w:r>
      <w:r w:rsidR="005777FC">
        <w:rPr>
          <w:rStyle w:val="FootnoteReference"/>
          <w:rFonts w:cs="Arial"/>
        </w:rPr>
        <w:footnoteReference w:id="11"/>
      </w:r>
    </w:p>
    <w:p w14:paraId="7B87F9F0" w14:textId="77777777" w:rsidR="00870143" w:rsidRDefault="00870143">
      <w:pPr>
        <w:rPr>
          <w:rFonts w:cs="Arial"/>
        </w:rPr>
      </w:pPr>
    </w:p>
    <w:p w14:paraId="2A8C6888" w14:textId="216FF90B" w:rsidR="00870143" w:rsidRDefault="00616CFD">
      <w:pPr>
        <w:rPr>
          <w:rFonts w:cs="Arial"/>
        </w:rPr>
      </w:pPr>
      <w:r>
        <w:rPr>
          <w:rFonts w:cs="Arial"/>
        </w:rPr>
        <w:lastRenderedPageBreak/>
        <w:t>D</w:t>
      </w:r>
      <w:r w:rsidR="00C86968">
        <w:rPr>
          <w:rFonts w:cs="Arial"/>
        </w:rPr>
        <w:t>e</w:t>
      </w:r>
      <w:r w:rsidR="00D0647E">
        <w:rPr>
          <w:rFonts w:cs="Arial"/>
        </w:rPr>
        <w:t xml:space="preserve"> minister </w:t>
      </w:r>
      <w:r>
        <w:rPr>
          <w:rFonts w:cs="Arial"/>
        </w:rPr>
        <w:t>van Financiën heeft de herziening van het boetestelsel</w:t>
      </w:r>
      <w:r w:rsidR="00D0647E">
        <w:rPr>
          <w:rFonts w:cs="Arial"/>
        </w:rPr>
        <w:t xml:space="preserve"> </w:t>
      </w:r>
      <w:r w:rsidR="00EF568C">
        <w:rPr>
          <w:rFonts w:cs="Arial"/>
        </w:rPr>
        <w:t xml:space="preserve">nog wel </w:t>
      </w:r>
      <w:r w:rsidR="00C86968">
        <w:rPr>
          <w:rFonts w:cs="Arial"/>
        </w:rPr>
        <w:t>aangegrepen voor een beperkte evaluati</w:t>
      </w:r>
      <w:r>
        <w:rPr>
          <w:rFonts w:cs="Arial"/>
        </w:rPr>
        <w:t xml:space="preserve">e van het huidige </w:t>
      </w:r>
      <w:r w:rsidR="00C86968">
        <w:rPr>
          <w:rFonts w:cs="Arial"/>
        </w:rPr>
        <w:t>stelsel.</w:t>
      </w:r>
      <w:r w:rsidR="00D0647E">
        <w:rPr>
          <w:rStyle w:val="FootnoteReference"/>
          <w:rFonts w:cs="Arial"/>
        </w:rPr>
        <w:footnoteReference w:id="12"/>
      </w:r>
      <w:r w:rsidR="00C86968">
        <w:rPr>
          <w:rFonts w:cs="Arial"/>
        </w:rPr>
        <w:t xml:space="preserve"> Daaruit komt naar voren dat de financiële toezichthouders </w:t>
      </w:r>
      <w:r w:rsidR="001C2930">
        <w:rPr>
          <w:rFonts w:cs="Arial"/>
        </w:rPr>
        <w:t xml:space="preserve">in de praktijk goed uit de voeten </w:t>
      </w:r>
      <w:r w:rsidR="00236F5D">
        <w:rPr>
          <w:rFonts w:cs="Arial"/>
        </w:rPr>
        <w:t xml:space="preserve">konden </w:t>
      </w:r>
      <w:r w:rsidR="00FA04A9">
        <w:rPr>
          <w:rFonts w:cs="Arial"/>
        </w:rPr>
        <w:t>met de boetes, die in 2009 al aanzienlijk ware</w:t>
      </w:r>
      <w:r w:rsidR="00ED2853">
        <w:rPr>
          <w:rFonts w:cs="Arial"/>
        </w:rPr>
        <w:t xml:space="preserve">n verhoogd en geflexibiliseerd. </w:t>
      </w:r>
      <w:r w:rsidR="00D0647E">
        <w:rPr>
          <w:rFonts w:cs="Arial"/>
        </w:rPr>
        <w:t xml:space="preserve">Volgens de minister zouden de toezichthouders </w:t>
      </w:r>
      <w:r w:rsidR="00F4703C">
        <w:rPr>
          <w:rFonts w:cs="Arial"/>
        </w:rPr>
        <w:t xml:space="preserve">aldus </w:t>
      </w:r>
      <w:r w:rsidR="00D0647E">
        <w:rPr>
          <w:rFonts w:cs="Arial"/>
        </w:rPr>
        <w:t xml:space="preserve">beter in staat zijn afschrikwekkende en proportionele boetes op te leggen. </w:t>
      </w:r>
      <w:r w:rsidR="009329DB">
        <w:rPr>
          <w:rFonts w:cs="Arial"/>
        </w:rPr>
        <w:t xml:space="preserve">Op deze evaluatie is naar mijn mening wel </w:t>
      </w:r>
      <w:r w:rsidR="00166DDA">
        <w:rPr>
          <w:rFonts w:cs="Arial"/>
        </w:rPr>
        <w:t xml:space="preserve">het nodige aan te merken, zo vind ik </w:t>
      </w:r>
      <w:r w:rsidR="009329DB">
        <w:rPr>
          <w:rFonts w:cs="Arial"/>
        </w:rPr>
        <w:t xml:space="preserve">die nogal selectief en suggestief (Mein &amp; </w:t>
      </w:r>
      <w:proofErr w:type="spellStart"/>
      <w:r w:rsidR="009329DB">
        <w:rPr>
          <w:rFonts w:cs="Arial"/>
        </w:rPr>
        <w:t>Doets</w:t>
      </w:r>
      <w:proofErr w:type="spellEnd"/>
      <w:r w:rsidR="009329DB">
        <w:rPr>
          <w:rFonts w:cs="Arial"/>
        </w:rPr>
        <w:t>, 2016</w:t>
      </w:r>
      <w:r w:rsidR="007A2DF2">
        <w:rPr>
          <w:rFonts w:cs="Arial"/>
        </w:rPr>
        <w:t>, p. 304</w:t>
      </w:r>
      <w:r w:rsidR="007546B6">
        <w:rPr>
          <w:rFonts w:cs="Arial"/>
        </w:rPr>
        <w:t xml:space="preserve">; </w:t>
      </w:r>
      <w:r w:rsidR="00265009">
        <w:rPr>
          <w:rFonts w:cs="Arial"/>
        </w:rPr>
        <w:t>Roth, 2016</w:t>
      </w:r>
      <w:r w:rsidR="009329DB">
        <w:rPr>
          <w:rFonts w:cs="Arial"/>
        </w:rPr>
        <w:t xml:space="preserve">). </w:t>
      </w:r>
      <w:r w:rsidR="00FA45A6">
        <w:rPr>
          <w:rFonts w:cs="Arial"/>
        </w:rPr>
        <w:t>De claim dat de financiële toezichthouders</w:t>
      </w:r>
      <w:r w:rsidR="00236F5D">
        <w:rPr>
          <w:rFonts w:cs="Arial"/>
        </w:rPr>
        <w:t xml:space="preserve"> passende boetes op</w:t>
      </w:r>
      <w:r w:rsidR="00FA45A6">
        <w:rPr>
          <w:rFonts w:cs="Arial"/>
        </w:rPr>
        <w:t xml:space="preserve">leggen, wordt </w:t>
      </w:r>
      <w:r w:rsidR="00C21AFF">
        <w:rPr>
          <w:rFonts w:cs="Arial"/>
        </w:rPr>
        <w:t xml:space="preserve">mijns inziens </w:t>
      </w:r>
      <w:r w:rsidR="00FA45A6">
        <w:rPr>
          <w:rFonts w:cs="Arial"/>
        </w:rPr>
        <w:t xml:space="preserve">onvoldoende onderbouwd op basis van praktijkonderzoek. </w:t>
      </w:r>
      <w:r w:rsidR="00C21AFF">
        <w:rPr>
          <w:rFonts w:cs="Arial"/>
        </w:rPr>
        <w:t xml:space="preserve">Laat staan dat de huidige praktijk </w:t>
      </w:r>
      <w:r w:rsidR="00D30971">
        <w:rPr>
          <w:rFonts w:cs="Arial"/>
        </w:rPr>
        <w:t xml:space="preserve">deze </w:t>
      </w:r>
      <w:r w:rsidR="00C21AFF">
        <w:rPr>
          <w:rFonts w:cs="Arial"/>
        </w:rPr>
        <w:t>volgende herziening van het boetestelsel</w:t>
      </w:r>
      <w:r w:rsidR="0049745C">
        <w:rPr>
          <w:rFonts w:cs="Arial"/>
        </w:rPr>
        <w:t xml:space="preserve"> rechtvaardigt</w:t>
      </w:r>
      <w:r w:rsidR="00C21AFF">
        <w:rPr>
          <w:rFonts w:cs="Arial"/>
        </w:rPr>
        <w:t xml:space="preserve">. </w:t>
      </w:r>
      <w:r>
        <w:rPr>
          <w:rFonts w:cs="Arial"/>
        </w:rPr>
        <w:t xml:space="preserve">De evaluatie heeft, voor zover ik heb kunnen nagaan, verder geen rol gespeeld bij eerdergenoemde kamerbehandeling. </w:t>
      </w:r>
    </w:p>
    <w:p w14:paraId="46A8E653" w14:textId="77777777" w:rsidR="00D0647E" w:rsidRDefault="00D0647E">
      <w:pPr>
        <w:rPr>
          <w:rFonts w:cs="Arial"/>
        </w:rPr>
      </w:pPr>
    </w:p>
    <w:p w14:paraId="66BE2426" w14:textId="2FC5F932" w:rsidR="00AF786F" w:rsidRPr="00B14570" w:rsidRDefault="00A66F70">
      <w:pPr>
        <w:rPr>
          <w:i/>
          <w:color w:val="000000" w:themeColor="text1"/>
        </w:rPr>
      </w:pPr>
      <w:r w:rsidRPr="00B14570">
        <w:rPr>
          <w:i/>
          <w:color w:val="000000" w:themeColor="text1"/>
        </w:rPr>
        <w:t>Brussel als boete</w:t>
      </w:r>
      <w:r w:rsidR="00B14570" w:rsidRPr="00B14570">
        <w:rPr>
          <w:i/>
          <w:color w:val="000000" w:themeColor="text1"/>
        </w:rPr>
        <w:t>generator</w:t>
      </w:r>
    </w:p>
    <w:p w14:paraId="58F60B05" w14:textId="1871A537" w:rsidR="00A66F70" w:rsidRDefault="00B83A08" w:rsidP="009A73D9">
      <w:pPr>
        <w:rPr>
          <w:rFonts w:cs="Arial"/>
        </w:rPr>
      </w:pPr>
      <w:r>
        <w:rPr>
          <w:rFonts w:cs="Arial"/>
        </w:rPr>
        <w:t xml:space="preserve">De herziening van het boetestelsel </w:t>
      </w:r>
      <w:r w:rsidR="004858D3">
        <w:rPr>
          <w:rFonts w:cs="Arial"/>
        </w:rPr>
        <w:t>is terug te voeren op de wens van de Europese Commissie tot harmonisatie van de handhavingsbevoegdheden</w:t>
      </w:r>
      <w:r w:rsidR="00FC125C">
        <w:rPr>
          <w:rFonts w:cs="Arial"/>
        </w:rPr>
        <w:t>, meer in het bijzonder de hoogte van de op te leggen boetes,</w:t>
      </w:r>
      <w:r w:rsidR="00C86968">
        <w:rPr>
          <w:rFonts w:cs="Arial"/>
        </w:rPr>
        <w:t xml:space="preserve"> van de financiële</w:t>
      </w:r>
      <w:r w:rsidR="004858D3">
        <w:rPr>
          <w:rFonts w:cs="Arial"/>
        </w:rPr>
        <w:t xml:space="preserve"> toezichthouders binnen de verschillende lidstaten.</w:t>
      </w:r>
      <w:r w:rsidR="000314EB">
        <w:rPr>
          <w:rStyle w:val="FootnoteReference"/>
          <w:rFonts w:cs="Arial"/>
        </w:rPr>
        <w:footnoteReference w:id="13"/>
      </w:r>
      <w:r>
        <w:rPr>
          <w:rFonts w:cs="Arial"/>
        </w:rPr>
        <w:t xml:space="preserve"> </w:t>
      </w:r>
      <w:r w:rsidR="00C61312">
        <w:rPr>
          <w:rFonts w:cs="Arial"/>
        </w:rPr>
        <w:t xml:space="preserve">Zo bleek uit een onderzoek </w:t>
      </w:r>
      <w:r w:rsidR="00343623">
        <w:rPr>
          <w:rFonts w:cs="Arial"/>
        </w:rPr>
        <w:t xml:space="preserve">namens de Commissie naar de samenhang, gelijkwaardigheid en daadwerkelijke toepassing van de sanctiebevoegdheden van de lidstaten dat er op dit punt aanzienlijke verschillen bestonden. </w:t>
      </w:r>
      <w:r w:rsidR="00FC125C">
        <w:rPr>
          <w:rFonts w:cs="Arial"/>
        </w:rPr>
        <w:t>He</w:t>
      </w:r>
      <w:r w:rsidR="00343623">
        <w:rPr>
          <w:rFonts w:cs="Arial"/>
        </w:rPr>
        <w:t xml:space="preserve">t onderzoek was ingegeven door de wens van de Commissie om </w:t>
      </w:r>
      <w:r w:rsidR="000314EB">
        <w:rPr>
          <w:rFonts w:cs="Arial"/>
        </w:rPr>
        <w:t>de handhaving van de financieel to</w:t>
      </w:r>
      <w:r w:rsidR="00B60595">
        <w:rPr>
          <w:rFonts w:cs="Arial"/>
        </w:rPr>
        <w:t>ezichtregelgeving te versterken</w:t>
      </w:r>
      <w:r w:rsidR="006B1AF3">
        <w:rPr>
          <w:rFonts w:cs="Arial"/>
        </w:rPr>
        <w:t>, omdat daaro</w:t>
      </w:r>
      <w:r w:rsidR="00B60595">
        <w:rPr>
          <w:rFonts w:cs="Arial"/>
        </w:rPr>
        <w:t xml:space="preserve">ver naar aanleiding van de financiële crisis immers </w:t>
      </w:r>
      <w:r w:rsidR="00FC125C">
        <w:rPr>
          <w:rFonts w:cs="Arial"/>
        </w:rPr>
        <w:t xml:space="preserve">de nodige </w:t>
      </w:r>
      <w:r w:rsidR="00B60595">
        <w:rPr>
          <w:rFonts w:cs="Arial"/>
        </w:rPr>
        <w:t xml:space="preserve">twijfel </w:t>
      </w:r>
      <w:r w:rsidR="006B1AF3">
        <w:rPr>
          <w:rFonts w:cs="Arial"/>
        </w:rPr>
        <w:t xml:space="preserve">was </w:t>
      </w:r>
      <w:r w:rsidR="00B60595">
        <w:rPr>
          <w:rFonts w:cs="Arial"/>
        </w:rPr>
        <w:t>ontstaan.</w:t>
      </w:r>
      <w:r w:rsidR="002E1142">
        <w:rPr>
          <w:rFonts w:cs="Arial"/>
        </w:rPr>
        <w:t xml:space="preserve"> De Co</w:t>
      </w:r>
      <w:r w:rsidR="001A657B">
        <w:rPr>
          <w:rFonts w:cs="Arial"/>
        </w:rPr>
        <w:t>mmissie stelde</w:t>
      </w:r>
      <w:r w:rsidR="002E1142">
        <w:rPr>
          <w:rFonts w:cs="Arial"/>
        </w:rPr>
        <w:t xml:space="preserve"> op basis van het onderzoek onder meer vast </w:t>
      </w:r>
      <w:r w:rsidR="00FD25EC">
        <w:rPr>
          <w:rFonts w:cs="Arial"/>
        </w:rPr>
        <w:t>dat er grote verschillen bestaan</w:t>
      </w:r>
      <w:r w:rsidR="002E1142">
        <w:rPr>
          <w:rFonts w:cs="Arial"/>
        </w:rPr>
        <w:t xml:space="preserve"> in het</w:t>
      </w:r>
      <w:r w:rsidR="00FC125C">
        <w:rPr>
          <w:rFonts w:cs="Arial"/>
        </w:rPr>
        <w:t xml:space="preserve"> minimum- en maximumniveau van </w:t>
      </w:r>
      <w:r w:rsidR="002E1142">
        <w:rPr>
          <w:rFonts w:cs="Arial"/>
        </w:rPr>
        <w:t xml:space="preserve">geldboetes die in de verschillende lidstaten kunnen worden opgelegd en dat het maximum in sommige gevallen zo laag is dat daarvan naar alle waarschijnlijkheid ontoereikende afschrikwekkende werking </w:t>
      </w:r>
      <w:r w:rsidR="001A657B">
        <w:rPr>
          <w:rFonts w:cs="Arial"/>
        </w:rPr>
        <w:t>zou uitgaan</w:t>
      </w:r>
      <w:r w:rsidR="002E1142">
        <w:rPr>
          <w:rFonts w:cs="Arial"/>
        </w:rPr>
        <w:t xml:space="preserve">. </w:t>
      </w:r>
      <w:r w:rsidR="00D2191C">
        <w:rPr>
          <w:rFonts w:cs="Arial"/>
        </w:rPr>
        <w:t xml:space="preserve">Een gebrek aan afschrikking zou volgens de Commissie vervolgens weer kunnen leiden tot een gebrekkige naleving </w:t>
      </w:r>
      <w:r w:rsidR="009B3F03">
        <w:rPr>
          <w:rFonts w:cs="Arial"/>
        </w:rPr>
        <w:t>van de EU-</w:t>
      </w:r>
      <w:r w:rsidR="00C02165">
        <w:rPr>
          <w:rFonts w:cs="Arial"/>
        </w:rPr>
        <w:t>voorschriften</w:t>
      </w:r>
      <w:r w:rsidR="009B3F03">
        <w:rPr>
          <w:rFonts w:cs="Arial"/>
        </w:rPr>
        <w:t xml:space="preserve"> </w:t>
      </w:r>
      <w:r w:rsidR="00D2191C">
        <w:rPr>
          <w:rFonts w:cs="Arial"/>
        </w:rPr>
        <w:t xml:space="preserve">en een ondermijning van de doelen van het </w:t>
      </w:r>
      <w:r w:rsidR="009B3F03">
        <w:rPr>
          <w:rFonts w:cs="Arial"/>
        </w:rPr>
        <w:t xml:space="preserve">(Europese) </w:t>
      </w:r>
      <w:r w:rsidR="00D2191C">
        <w:rPr>
          <w:rFonts w:cs="Arial"/>
        </w:rPr>
        <w:t xml:space="preserve">financieel toezicht. </w:t>
      </w:r>
      <w:r w:rsidR="001A657B">
        <w:rPr>
          <w:rFonts w:cs="Arial"/>
        </w:rPr>
        <w:t xml:space="preserve">Dit bracht </w:t>
      </w:r>
      <w:r w:rsidR="00656B1F">
        <w:rPr>
          <w:rFonts w:cs="Arial"/>
        </w:rPr>
        <w:t>de Europese Com</w:t>
      </w:r>
      <w:r w:rsidR="009B3F03">
        <w:rPr>
          <w:rFonts w:cs="Arial"/>
        </w:rPr>
        <w:t>missie</w:t>
      </w:r>
      <w:r w:rsidR="00C02165">
        <w:rPr>
          <w:rFonts w:cs="Arial"/>
        </w:rPr>
        <w:t xml:space="preserve"> er</w:t>
      </w:r>
      <w:r w:rsidR="00FC125C">
        <w:rPr>
          <w:rFonts w:cs="Arial"/>
        </w:rPr>
        <w:t xml:space="preserve"> dan ook </w:t>
      </w:r>
      <w:r w:rsidR="009B3F03">
        <w:rPr>
          <w:rFonts w:cs="Arial"/>
        </w:rPr>
        <w:t xml:space="preserve">toe voorstellen te doen tot versterking van de handhaving en het </w:t>
      </w:r>
      <w:r w:rsidR="00EC64B0">
        <w:rPr>
          <w:rFonts w:cs="Arial"/>
        </w:rPr>
        <w:t xml:space="preserve">bevorderen van </w:t>
      </w:r>
      <w:r w:rsidR="00A66F70">
        <w:rPr>
          <w:rFonts w:cs="Arial"/>
        </w:rPr>
        <w:t>samenhang</w:t>
      </w:r>
      <w:r w:rsidR="00EC64B0">
        <w:rPr>
          <w:rFonts w:cs="Arial"/>
        </w:rPr>
        <w:t xml:space="preserve"> daarbinnen</w:t>
      </w:r>
      <w:r w:rsidR="00A66F70">
        <w:rPr>
          <w:rFonts w:cs="Arial"/>
        </w:rPr>
        <w:t xml:space="preserve">, </w:t>
      </w:r>
      <w:r w:rsidR="009B3F03">
        <w:rPr>
          <w:rFonts w:cs="Arial"/>
        </w:rPr>
        <w:t xml:space="preserve">onder meer door middel van </w:t>
      </w:r>
      <w:r w:rsidR="00FC125C">
        <w:rPr>
          <w:rFonts w:cs="Arial"/>
        </w:rPr>
        <w:t xml:space="preserve">een gemeenschappelijk </w:t>
      </w:r>
      <w:r w:rsidR="00C02165">
        <w:rPr>
          <w:rFonts w:cs="Arial"/>
        </w:rPr>
        <w:t xml:space="preserve">minimumniveau voor de op te leggen bestuurlijke boetes. </w:t>
      </w:r>
      <w:r w:rsidR="00FC125C">
        <w:rPr>
          <w:rFonts w:cs="Arial"/>
        </w:rPr>
        <w:t xml:space="preserve">Aldus geschiedde in deze en eerdere verordeningen (Van Es &amp; Kraaijeveld, 2016, p. 139-140). </w:t>
      </w:r>
    </w:p>
    <w:p w14:paraId="6FB3B25B" w14:textId="77777777" w:rsidR="00166DDA" w:rsidRDefault="00166DDA">
      <w:pPr>
        <w:rPr>
          <w:rFonts w:cs="Arial"/>
        </w:rPr>
      </w:pPr>
    </w:p>
    <w:p w14:paraId="699929BD" w14:textId="6DF3E771" w:rsidR="00633CA6" w:rsidRDefault="009A73D9">
      <w:pPr>
        <w:rPr>
          <w:rFonts w:cs="Arial"/>
        </w:rPr>
      </w:pPr>
      <w:r>
        <w:rPr>
          <w:rFonts w:cs="Arial"/>
        </w:rPr>
        <w:t xml:space="preserve">In de praktijk gaat van dit </w:t>
      </w:r>
      <w:r w:rsidR="00A66F70">
        <w:rPr>
          <w:rFonts w:cs="Arial"/>
        </w:rPr>
        <w:t xml:space="preserve">Europese </w:t>
      </w:r>
      <w:r>
        <w:rPr>
          <w:rFonts w:cs="Arial"/>
        </w:rPr>
        <w:t xml:space="preserve">streven naar convergentie een </w:t>
      </w:r>
      <w:r w:rsidR="007B25EF">
        <w:rPr>
          <w:rFonts w:cs="Arial"/>
        </w:rPr>
        <w:t xml:space="preserve">forse opwaartse druk uit op </w:t>
      </w:r>
      <w:r>
        <w:rPr>
          <w:rFonts w:cs="Arial"/>
        </w:rPr>
        <w:t>nationale boeteniveau</w:t>
      </w:r>
      <w:r w:rsidR="007B25EF">
        <w:rPr>
          <w:rFonts w:cs="Arial"/>
        </w:rPr>
        <w:t>s</w:t>
      </w:r>
      <w:r>
        <w:rPr>
          <w:rFonts w:cs="Arial"/>
        </w:rPr>
        <w:t xml:space="preserve">. Een opwaartse druk, ingegeven door de afschrikkingsgedachte. Dat de Europese Commissie die aanhangt, </w:t>
      </w:r>
      <w:r w:rsidR="002E1142">
        <w:rPr>
          <w:rFonts w:cs="Arial"/>
        </w:rPr>
        <w:t xml:space="preserve">blijkt </w:t>
      </w:r>
      <w:r w:rsidR="00FC125C">
        <w:rPr>
          <w:rFonts w:cs="Arial"/>
        </w:rPr>
        <w:t>nadrukkelijk</w:t>
      </w:r>
      <w:r>
        <w:rPr>
          <w:rFonts w:cs="Arial"/>
        </w:rPr>
        <w:t xml:space="preserve"> uit eerdergenoemde Mededeling</w:t>
      </w:r>
      <w:r w:rsidR="002E1142">
        <w:rPr>
          <w:rFonts w:cs="Arial"/>
        </w:rPr>
        <w:t xml:space="preserve">. Zo stelt de Commissie </w:t>
      </w:r>
      <w:r w:rsidR="00B37A32">
        <w:rPr>
          <w:rFonts w:cs="Arial"/>
        </w:rPr>
        <w:t xml:space="preserve">in algemene zin </w:t>
      </w:r>
      <w:r w:rsidR="002E1142">
        <w:rPr>
          <w:rFonts w:cs="Arial"/>
        </w:rPr>
        <w:t>dat het weinig aannemelijk is dat een groot afschrikkend effect uitgaat van een boete die lager ligt dan hetgeen de schending naar</w:t>
      </w:r>
      <w:r w:rsidR="00FD25EC">
        <w:rPr>
          <w:rFonts w:cs="Arial"/>
        </w:rPr>
        <w:t xml:space="preserve"> verwachting zal opleveren. De C</w:t>
      </w:r>
      <w:r w:rsidR="002E1142">
        <w:rPr>
          <w:rFonts w:cs="Arial"/>
        </w:rPr>
        <w:t xml:space="preserve">ommissie beschouwt financiële instellingen </w:t>
      </w:r>
      <w:r w:rsidR="00FC125C">
        <w:rPr>
          <w:rFonts w:cs="Arial"/>
        </w:rPr>
        <w:t xml:space="preserve">in dit verband </w:t>
      </w:r>
      <w:r w:rsidR="00834F0C">
        <w:rPr>
          <w:rFonts w:cs="Arial"/>
        </w:rPr>
        <w:t xml:space="preserve">als rationele actoren ten aanzien waarvan de mogelijkheid dat een overtreding </w:t>
      </w:r>
      <w:proofErr w:type="spellStart"/>
      <w:r w:rsidR="00834F0C">
        <w:rPr>
          <w:rFonts w:cs="Arial"/>
        </w:rPr>
        <w:t>onopgespoord</w:t>
      </w:r>
      <w:proofErr w:type="spellEnd"/>
      <w:r w:rsidR="00834F0C">
        <w:rPr>
          <w:rFonts w:cs="Arial"/>
        </w:rPr>
        <w:t xml:space="preserve"> blijft, moet worden gecompenseerd door een boete die aanzienlijk hoger ligt dan de mogelijke winst die de overtreding oplevert. </w:t>
      </w:r>
    </w:p>
    <w:p w14:paraId="6662745D" w14:textId="77777777" w:rsidR="00EC64B0" w:rsidRDefault="00EC64B0">
      <w:pPr>
        <w:rPr>
          <w:rFonts w:cs="Arial"/>
        </w:rPr>
      </w:pPr>
    </w:p>
    <w:p w14:paraId="4F633D85" w14:textId="6D916DF2" w:rsidR="00EC64B0" w:rsidRPr="00395431" w:rsidRDefault="00502DB6">
      <w:pPr>
        <w:rPr>
          <w:rFonts w:cs="Arial"/>
        </w:rPr>
      </w:pPr>
      <w:r>
        <w:rPr>
          <w:rFonts w:cs="Arial"/>
        </w:rPr>
        <w:t xml:space="preserve">Hoewel de aanbevelingen </w:t>
      </w:r>
      <w:r w:rsidR="00395431">
        <w:rPr>
          <w:rFonts w:cs="Arial"/>
        </w:rPr>
        <w:t>van de Europese Commissie voo</w:t>
      </w:r>
      <w:r>
        <w:rPr>
          <w:rFonts w:cs="Arial"/>
        </w:rPr>
        <w:t>ral bedoeld lijken te zijn voor d</w:t>
      </w:r>
      <w:r w:rsidR="00F515BA">
        <w:rPr>
          <w:rFonts w:cs="Arial"/>
        </w:rPr>
        <w:t>i</w:t>
      </w:r>
      <w:r w:rsidR="00395431">
        <w:rPr>
          <w:rFonts w:cs="Arial"/>
        </w:rPr>
        <w:t xml:space="preserve">e lidstaten die, om uiteenlopende redenen, achterblijven met de handhaving van de voorschriften op het gebied van het financieel toezicht, is het </w:t>
      </w:r>
      <w:r>
        <w:rPr>
          <w:rFonts w:cs="Arial"/>
        </w:rPr>
        <w:t xml:space="preserve">uiteindelijke </w:t>
      </w:r>
      <w:r w:rsidR="00395431">
        <w:rPr>
          <w:rFonts w:cs="Arial"/>
        </w:rPr>
        <w:t xml:space="preserve">resultaat een forse verhoging van de op te leggen boetes voor alle lidstaten. </w:t>
      </w:r>
      <w:r w:rsidR="008C5469">
        <w:rPr>
          <w:rFonts w:cs="Arial"/>
        </w:rPr>
        <w:t>Het is de vraag of zo</w:t>
      </w:r>
      <w:r w:rsidR="00552251">
        <w:rPr>
          <w:rFonts w:cs="Arial"/>
        </w:rPr>
        <w:t>’</w:t>
      </w:r>
      <w:r w:rsidR="008C5469">
        <w:rPr>
          <w:rFonts w:cs="Arial"/>
        </w:rPr>
        <w:t xml:space="preserve">n </w:t>
      </w:r>
      <w:r w:rsidR="008E662F">
        <w:rPr>
          <w:rFonts w:cs="Arial"/>
        </w:rPr>
        <w:t>generieke</w:t>
      </w:r>
      <w:r w:rsidR="00552251">
        <w:rPr>
          <w:rFonts w:cs="Arial"/>
        </w:rPr>
        <w:t xml:space="preserve"> </w:t>
      </w:r>
      <w:r w:rsidR="008C5469">
        <w:rPr>
          <w:rFonts w:cs="Arial"/>
        </w:rPr>
        <w:t xml:space="preserve">verhoging </w:t>
      </w:r>
      <w:r w:rsidR="00552251">
        <w:rPr>
          <w:rFonts w:cs="Arial"/>
        </w:rPr>
        <w:t xml:space="preserve">ook </w:t>
      </w:r>
      <w:r w:rsidR="008C5469">
        <w:rPr>
          <w:rFonts w:cs="Arial"/>
        </w:rPr>
        <w:t xml:space="preserve">voor </w:t>
      </w:r>
      <w:r w:rsidR="00FD25EC">
        <w:rPr>
          <w:rFonts w:cs="Arial"/>
        </w:rPr>
        <w:t>de ‘niet-achterblijvers’</w:t>
      </w:r>
      <w:r w:rsidR="00411FE8">
        <w:rPr>
          <w:rFonts w:cs="Arial"/>
        </w:rPr>
        <w:t xml:space="preserve">, waaronder Nederland, </w:t>
      </w:r>
      <w:r w:rsidR="00395431">
        <w:rPr>
          <w:rFonts w:cs="Arial"/>
        </w:rPr>
        <w:t>nou wel echt nodig was.</w:t>
      </w:r>
      <w:r w:rsidR="008C5469">
        <w:rPr>
          <w:rFonts w:cs="Arial"/>
        </w:rPr>
        <w:t xml:space="preserve"> </w:t>
      </w:r>
      <w:r w:rsidR="00BF6131">
        <w:rPr>
          <w:rFonts w:cs="Arial"/>
        </w:rPr>
        <w:t xml:space="preserve">In dit opzicht staat het voorstel op gespannen voet met de beginselen van subsidiariteit en proportionaliteit. </w:t>
      </w:r>
      <w:r>
        <w:rPr>
          <w:rFonts w:cs="Arial"/>
        </w:rPr>
        <w:t xml:space="preserve">Een ander onbevredigend punt </w:t>
      </w:r>
      <w:r w:rsidR="00FD25EC">
        <w:rPr>
          <w:rFonts w:cs="Arial"/>
        </w:rPr>
        <w:t xml:space="preserve">in mijn ogen is </w:t>
      </w:r>
      <w:r>
        <w:rPr>
          <w:rFonts w:cs="Arial"/>
        </w:rPr>
        <w:t>de tamelijk algemen</w:t>
      </w:r>
      <w:r w:rsidR="00395431">
        <w:rPr>
          <w:rFonts w:cs="Arial"/>
        </w:rPr>
        <w:t>e onderbouwing van de verhoging</w:t>
      </w:r>
      <w:r>
        <w:rPr>
          <w:rFonts w:cs="Arial"/>
        </w:rPr>
        <w:t xml:space="preserve"> van het boeteniveau</w:t>
      </w:r>
      <w:r w:rsidR="00395431">
        <w:rPr>
          <w:rFonts w:cs="Arial"/>
        </w:rPr>
        <w:t xml:space="preserve">, namelijk </w:t>
      </w:r>
      <w:r>
        <w:rPr>
          <w:rFonts w:cs="Arial"/>
        </w:rPr>
        <w:t xml:space="preserve">effectieve </w:t>
      </w:r>
      <w:r w:rsidR="00395431">
        <w:rPr>
          <w:rFonts w:cs="Arial"/>
        </w:rPr>
        <w:t>afschrikk</w:t>
      </w:r>
      <w:r>
        <w:rPr>
          <w:rFonts w:cs="Arial"/>
        </w:rPr>
        <w:t>ing van rationele marktpartijen</w:t>
      </w:r>
      <w:r w:rsidR="00395431">
        <w:rPr>
          <w:rFonts w:cs="Arial"/>
        </w:rPr>
        <w:t xml:space="preserve">. De Commissie </w:t>
      </w:r>
      <w:r>
        <w:rPr>
          <w:rFonts w:cs="Arial"/>
        </w:rPr>
        <w:t xml:space="preserve">werkt dit niet verder uit, </w:t>
      </w:r>
      <w:r w:rsidR="00395431">
        <w:rPr>
          <w:rFonts w:cs="Arial"/>
        </w:rPr>
        <w:t xml:space="preserve">haalt geen ondersteunende theorie aan of verwijst wat dit betreft </w:t>
      </w:r>
      <w:r>
        <w:rPr>
          <w:rFonts w:cs="Arial"/>
        </w:rPr>
        <w:t xml:space="preserve">niet </w:t>
      </w:r>
      <w:r w:rsidR="00395431">
        <w:rPr>
          <w:rFonts w:cs="Arial"/>
        </w:rPr>
        <w:t xml:space="preserve">naar </w:t>
      </w:r>
      <w:r w:rsidR="003F5AD3">
        <w:rPr>
          <w:rFonts w:cs="Arial"/>
        </w:rPr>
        <w:t>(</w:t>
      </w:r>
      <w:r w:rsidR="00395431">
        <w:rPr>
          <w:rFonts w:cs="Arial"/>
        </w:rPr>
        <w:t>succesvolle</w:t>
      </w:r>
      <w:r w:rsidR="003F5AD3">
        <w:rPr>
          <w:rFonts w:cs="Arial"/>
        </w:rPr>
        <w:t>)</w:t>
      </w:r>
      <w:r w:rsidR="00395431">
        <w:rPr>
          <w:rFonts w:cs="Arial"/>
        </w:rPr>
        <w:t xml:space="preserve"> praktijkvoorbeelden. </w:t>
      </w:r>
      <w:r>
        <w:rPr>
          <w:rFonts w:cs="Arial"/>
        </w:rPr>
        <w:t xml:space="preserve">Er lijkt sprake van een </w:t>
      </w:r>
      <w:r w:rsidR="006B2692">
        <w:rPr>
          <w:rFonts w:cs="Arial"/>
        </w:rPr>
        <w:t>rots</w:t>
      </w:r>
      <w:r>
        <w:rPr>
          <w:rFonts w:cs="Arial"/>
        </w:rPr>
        <w:t xml:space="preserve">vast geloof in de rationaliteit van marktpartijen, die zich wat betreft de hun nalevingsgedrag zouden laten leiden door kosten-baten afwegingen. </w:t>
      </w:r>
    </w:p>
    <w:p w14:paraId="1E673830" w14:textId="77777777" w:rsidR="00EF250A" w:rsidRDefault="00EF250A">
      <w:pPr>
        <w:rPr>
          <w:color w:val="000000" w:themeColor="text1"/>
        </w:rPr>
      </w:pPr>
    </w:p>
    <w:p w14:paraId="41AA42E9" w14:textId="7197DADF" w:rsidR="00EF250A" w:rsidRPr="00AC4406" w:rsidRDefault="00511576" w:rsidP="00621364">
      <w:pPr>
        <w:pStyle w:val="ListParagraph"/>
        <w:numPr>
          <w:ilvl w:val="0"/>
          <w:numId w:val="1"/>
        </w:numPr>
        <w:rPr>
          <w:color w:val="000000" w:themeColor="text1"/>
        </w:rPr>
      </w:pPr>
      <w:r>
        <w:rPr>
          <w:color w:val="000000" w:themeColor="text1"/>
        </w:rPr>
        <w:t>De onderbouwing v</w:t>
      </w:r>
      <w:r w:rsidR="00204C94">
        <w:rPr>
          <w:color w:val="000000" w:themeColor="text1"/>
        </w:rPr>
        <w:t xml:space="preserve">an de </w:t>
      </w:r>
      <w:r w:rsidR="00621364" w:rsidRPr="00AC4406">
        <w:rPr>
          <w:color w:val="000000" w:themeColor="text1"/>
        </w:rPr>
        <w:t>verhoging</w:t>
      </w:r>
      <w:r w:rsidR="000731FC">
        <w:rPr>
          <w:color w:val="000000" w:themeColor="text1"/>
        </w:rPr>
        <w:t xml:space="preserve"> van het boetemaximum</w:t>
      </w:r>
      <w:r w:rsidR="00930DAD">
        <w:rPr>
          <w:color w:val="000000" w:themeColor="text1"/>
        </w:rPr>
        <w:t xml:space="preserve">: </w:t>
      </w:r>
      <w:r w:rsidR="001B3801">
        <w:rPr>
          <w:color w:val="000000" w:themeColor="text1"/>
        </w:rPr>
        <w:t xml:space="preserve">respons op </w:t>
      </w:r>
      <w:r w:rsidR="001B5445">
        <w:rPr>
          <w:color w:val="000000" w:themeColor="text1"/>
        </w:rPr>
        <w:t>maatschappelijke onvrede</w:t>
      </w:r>
      <w:r w:rsidR="00BB056F" w:rsidRPr="00BB056F">
        <w:rPr>
          <w:color w:val="000000" w:themeColor="text1"/>
        </w:rPr>
        <w:t xml:space="preserve"> </w:t>
      </w:r>
      <w:r w:rsidR="00BB056F">
        <w:rPr>
          <w:color w:val="000000" w:themeColor="text1"/>
        </w:rPr>
        <w:t>en afschrikking</w:t>
      </w:r>
    </w:p>
    <w:p w14:paraId="5D830CE6" w14:textId="77777777" w:rsidR="003A6546" w:rsidRDefault="003A6546">
      <w:pPr>
        <w:rPr>
          <w:color w:val="000000" w:themeColor="text1"/>
        </w:rPr>
      </w:pPr>
    </w:p>
    <w:p w14:paraId="1B6628CF" w14:textId="42A06C0F" w:rsidR="00B027AF" w:rsidRDefault="00411FE8">
      <w:pPr>
        <w:rPr>
          <w:color w:val="000000" w:themeColor="text1"/>
        </w:rPr>
      </w:pPr>
      <w:r>
        <w:rPr>
          <w:color w:val="000000" w:themeColor="text1"/>
        </w:rPr>
        <w:t>Terug naar ons land</w:t>
      </w:r>
      <w:r w:rsidR="00594137">
        <w:rPr>
          <w:color w:val="000000" w:themeColor="text1"/>
        </w:rPr>
        <w:t xml:space="preserve">. </w:t>
      </w:r>
      <w:r w:rsidR="00FC0B05">
        <w:rPr>
          <w:color w:val="000000" w:themeColor="text1"/>
        </w:rPr>
        <w:t>Wat stond</w:t>
      </w:r>
      <w:r w:rsidR="00156E86">
        <w:rPr>
          <w:color w:val="000000" w:themeColor="text1"/>
        </w:rPr>
        <w:t xml:space="preserve"> de minister, zijn ambtenaren </w:t>
      </w:r>
      <w:r w:rsidR="00FC0B05">
        <w:rPr>
          <w:color w:val="000000" w:themeColor="text1"/>
        </w:rPr>
        <w:t xml:space="preserve">en betrokken Tweede Kamerleden voor ogen </w:t>
      </w:r>
      <w:r w:rsidR="00156E86">
        <w:rPr>
          <w:color w:val="000000" w:themeColor="text1"/>
        </w:rPr>
        <w:t xml:space="preserve">bij de herziening van </w:t>
      </w:r>
      <w:r w:rsidR="00FC0B05">
        <w:rPr>
          <w:color w:val="000000" w:themeColor="text1"/>
        </w:rPr>
        <w:t>het boe</w:t>
      </w:r>
      <w:r w:rsidR="00156E86">
        <w:rPr>
          <w:color w:val="000000" w:themeColor="text1"/>
        </w:rPr>
        <w:t>testelsel</w:t>
      </w:r>
      <w:r w:rsidR="00FC0B05">
        <w:rPr>
          <w:color w:val="000000" w:themeColor="text1"/>
        </w:rPr>
        <w:t xml:space="preserve">? </w:t>
      </w:r>
      <w:r w:rsidR="00AC4406">
        <w:rPr>
          <w:color w:val="000000" w:themeColor="text1"/>
        </w:rPr>
        <w:t>Waarom vonden zij een boeteverhoging noodzakelijk en hoe onderbouw</w:t>
      </w:r>
      <w:r w:rsidR="00097F7D">
        <w:rPr>
          <w:color w:val="000000" w:themeColor="text1"/>
        </w:rPr>
        <w:t>d</w:t>
      </w:r>
      <w:r>
        <w:rPr>
          <w:color w:val="000000" w:themeColor="text1"/>
        </w:rPr>
        <w:t>en zij die</w:t>
      </w:r>
      <w:r w:rsidR="00AC4406">
        <w:rPr>
          <w:color w:val="000000" w:themeColor="text1"/>
        </w:rPr>
        <w:t>?</w:t>
      </w:r>
    </w:p>
    <w:p w14:paraId="44B1F067" w14:textId="77777777" w:rsidR="00FC0B05" w:rsidRDefault="00FC0B05">
      <w:pPr>
        <w:rPr>
          <w:color w:val="000000" w:themeColor="text1"/>
        </w:rPr>
      </w:pPr>
    </w:p>
    <w:p w14:paraId="5F1F08DD" w14:textId="59F50C28" w:rsidR="00D60876" w:rsidRPr="00D60876" w:rsidRDefault="00C0713C" w:rsidP="00156E86">
      <w:pPr>
        <w:rPr>
          <w:i/>
          <w:color w:val="000000" w:themeColor="text1"/>
        </w:rPr>
      </w:pPr>
      <w:r>
        <w:rPr>
          <w:i/>
          <w:color w:val="000000" w:themeColor="text1"/>
        </w:rPr>
        <w:t>De a</w:t>
      </w:r>
      <w:r w:rsidR="00D60876" w:rsidRPr="00D60876">
        <w:rPr>
          <w:i/>
          <w:color w:val="000000" w:themeColor="text1"/>
        </w:rPr>
        <w:t>mbtelijke voorbereiding</w:t>
      </w:r>
    </w:p>
    <w:p w14:paraId="2B4484C5" w14:textId="69A49F68" w:rsidR="00156E86" w:rsidRDefault="00156E86" w:rsidP="00156E86">
      <w:pPr>
        <w:rPr>
          <w:color w:val="000000" w:themeColor="text1"/>
        </w:rPr>
      </w:pPr>
      <w:r>
        <w:rPr>
          <w:color w:val="000000" w:themeColor="text1"/>
        </w:rPr>
        <w:t>Bij de ambtelijke voorbereiding van het wetsvoorstel is de implementatie van eerdergenoemde Europese regelgeving le</w:t>
      </w:r>
      <w:r w:rsidR="0015099A">
        <w:rPr>
          <w:color w:val="000000" w:themeColor="text1"/>
        </w:rPr>
        <w:t>idend geweest, aldu</w:t>
      </w:r>
      <w:r w:rsidR="00E475BF">
        <w:rPr>
          <w:color w:val="000000" w:themeColor="text1"/>
        </w:rPr>
        <w:t xml:space="preserve">s </w:t>
      </w:r>
      <w:r w:rsidR="001D6899">
        <w:rPr>
          <w:color w:val="000000" w:themeColor="text1"/>
        </w:rPr>
        <w:t xml:space="preserve">de </w:t>
      </w:r>
      <w:r w:rsidR="00E475BF">
        <w:rPr>
          <w:color w:val="000000" w:themeColor="text1"/>
        </w:rPr>
        <w:t>wetgeving</w:t>
      </w:r>
      <w:r w:rsidR="00F76033">
        <w:rPr>
          <w:color w:val="000000" w:themeColor="text1"/>
        </w:rPr>
        <w:t>sjur</w:t>
      </w:r>
      <w:r w:rsidR="00E475BF">
        <w:rPr>
          <w:color w:val="000000" w:themeColor="text1"/>
        </w:rPr>
        <w:t>i</w:t>
      </w:r>
      <w:r w:rsidR="00F76033">
        <w:rPr>
          <w:color w:val="000000" w:themeColor="text1"/>
        </w:rPr>
        <w:t>s</w:t>
      </w:r>
      <w:r w:rsidR="00E475BF">
        <w:rPr>
          <w:color w:val="000000" w:themeColor="text1"/>
        </w:rPr>
        <w:t>ten</w:t>
      </w:r>
      <w:r w:rsidR="001D6899">
        <w:rPr>
          <w:color w:val="000000" w:themeColor="text1"/>
        </w:rPr>
        <w:t xml:space="preserve"> die nauw bij de totstandkoming van het wetsvoorstel betrokken waren</w:t>
      </w:r>
      <w:r>
        <w:rPr>
          <w:color w:val="000000" w:themeColor="text1"/>
        </w:rPr>
        <w:t>. Het wetsvoorstel past immers in een Europese trend tot harmonisatie van het toezicht en de handhaving van voorschriften op het gebied van het financiee</w:t>
      </w:r>
      <w:r w:rsidR="00DC5B0B">
        <w:rPr>
          <w:color w:val="000000" w:themeColor="text1"/>
        </w:rPr>
        <w:t>l toezicht. Mede om die reden is</w:t>
      </w:r>
      <w:r>
        <w:rPr>
          <w:color w:val="000000" w:themeColor="text1"/>
        </w:rPr>
        <w:t xml:space="preserve">, anders dan gebruikelijk, </w:t>
      </w:r>
      <w:r w:rsidR="00DC5B0B">
        <w:rPr>
          <w:color w:val="000000" w:themeColor="text1"/>
        </w:rPr>
        <w:t xml:space="preserve">de </w:t>
      </w:r>
      <w:r>
        <w:rPr>
          <w:color w:val="000000" w:themeColor="text1"/>
        </w:rPr>
        <w:t>stelselherziening</w:t>
      </w:r>
      <w:r w:rsidR="00411FE8">
        <w:rPr>
          <w:color w:val="000000" w:themeColor="text1"/>
        </w:rPr>
        <w:t xml:space="preserve"> met </w:t>
      </w:r>
      <w:r w:rsidR="00DC5B0B">
        <w:rPr>
          <w:color w:val="000000" w:themeColor="text1"/>
        </w:rPr>
        <w:t xml:space="preserve">de boeteverhoging </w:t>
      </w:r>
      <w:r w:rsidR="009B58C6">
        <w:rPr>
          <w:color w:val="000000" w:themeColor="text1"/>
        </w:rPr>
        <w:t xml:space="preserve">in de Kamerstukken </w:t>
      </w:r>
      <w:r w:rsidR="00DC5B0B">
        <w:rPr>
          <w:color w:val="000000" w:themeColor="text1"/>
        </w:rPr>
        <w:t xml:space="preserve">niet uitvoering onderbouwd. </w:t>
      </w:r>
      <w:r>
        <w:rPr>
          <w:color w:val="000000" w:themeColor="text1"/>
        </w:rPr>
        <w:t>De vooronderstelling is d</w:t>
      </w:r>
      <w:r w:rsidR="00DC5B0B">
        <w:rPr>
          <w:color w:val="000000" w:themeColor="text1"/>
        </w:rPr>
        <w:t>at d</w:t>
      </w:r>
      <w:r>
        <w:rPr>
          <w:color w:val="000000" w:themeColor="text1"/>
        </w:rPr>
        <w:t>e afweging</w:t>
      </w:r>
      <w:r w:rsidR="00DC5B0B">
        <w:rPr>
          <w:color w:val="000000" w:themeColor="text1"/>
        </w:rPr>
        <w:t>en daaromtrent reeds in Brussel zijn</w:t>
      </w:r>
      <w:r>
        <w:rPr>
          <w:color w:val="000000" w:themeColor="text1"/>
        </w:rPr>
        <w:t xml:space="preserve"> </w:t>
      </w:r>
      <w:r w:rsidR="00DC5B0B">
        <w:rPr>
          <w:color w:val="000000" w:themeColor="text1"/>
        </w:rPr>
        <w:t xml:space="preserve">gemaakt. Wel wordt de aan de verhoging </w:t>
      </w:r>
      <w:r>
        <w:rPr>
          <w:color w:val="000000" w:themeColor="text1"/>
        </w:rPr>
        <w:t xml:space="preserve">ten grondslag liggende afschrikkingsgedachte in algemene zin </w:t>
      </w:r>
      <w:r w:rsidR="00DC5B0B">
        <w:rPr>
          <w:color w:val="000000" w:themeColor="text1"/>
        </w:rPr>
        <w:t>onderschreven en</w:t>
      </w:r>
      <w:r>
        <w:rPr>
          <w:color w:val="000000" w:themeColor="text1"/>
        </w:rPr>
        <w:t xml:space="preserve"> overgenomen. Er heeft op dit punt geen extra afweging p</w:t>
      </w:r>
      <w:r w:rsidR="00C56E6D">
        <w:rPr>
          <w:color w:val="000000" w:themeColor="text1"/>
        </w:rPr>
        <w:t>laatsgevonden, aldus</w:t>
      </w:r>
      <w:r w:rsidR="001D6899">
        <w:rPr>
          <w:color w:val="000000" w:themeColor="text1"/>
        </w:rPr>
        <w:t xml:space="preserve"> de wetgevingsjuristen</w:t>
      </w:r>
      <w:r>
        <w:rPr>
          <w:color w:val="000000" w:themeColor="text1"/>
        </w:rPr>
        <w:t>. Alternatieve inzichten over beï</w:t>
      </w:r>
      <w:r w:rsidR="004308F1">
        <w:rPr>
          <w:color w:val="000000" w:themeColor="text1"/>
        </w:rPr>
        <w:t>nvloeding van naleving, ontleend</w:t>
      </w:r>
      <w:r>
        <w:rPr>
          <w:color w:val="000000" w:themeColor="text1"/>
        </w:rPr>
        <w:t xml:space="preserve"> aan de gedragswetenschappen, winnen wel aan invloed, maar speelden ten tijde van de totstandkoming van het wetsvoorstel nog niet op dit terrein. </w:t>
      </w:r>
      <w:r w:rsidR="001D6899">
        <w:rPr>
          <w:color w:val="000000" w:themeColor="text1"/>
        </w:rPr>
        <w:t xml:space="preserve">Eerdergenoemde ambtenaren </w:t>
      </w:r>
      <w:r w:rsidR="00C56E6D">
        <w:rPr>
          <w:color w:val="000000" w:themeColor="text1"/>
        </w:rPr>
        <w:t xml:space="preserve">wijzen daarnaast op de </w:t>
      </w:r>
      <w:r>
        <w:rPr>
          <w:color w:val="000000" w:themeColor="text1"/>
        </w:rPr>
        <w:t>politieke wens tot verhoging van de boetes in het kader van het financieel</w:t>
      </w:r>
      <w:r w:rsidR="009B58C6">
        <w:rPr>
          <w:color w:val="000000" w:themeColor="text1"/>
        </w:rPr>
        <w:t xml:space="preserve"> toezicht, als reflectie van </w:t>
      </w:r>
      <w:r>
        <w:rPr>
          <w:color w:val="000000" w:themeColor="text1"/>
        </w:rPr>
        <w:t xml:space="preserve">maatschappelijke onvrede over de financiële crises en de nasleep daarvan. </w:t>
      </w:r>
      <w:r w:rsidR="00C56E6D">
        <w:rPr>
          <w:color w:val="000000" w:themeColor="text1"/>
        </w:rPr>
        <w:t xml:space="preserve">De wetswijziging biedt de toezichthouder </w:t>
      </w:r>
      <w:r w:rsidR="009B58C6">
        <w:rPr>
          <w:color w:val="000000" w:themeColor="text1"/>
        </w:rPr>
        <w:t xml:space="preserve">dan ook </w:t>
      </w:r>
      <w:r w:rsidR="00C56E6D">
        <w:rPr>
          <w:color w:val="000000" w:themeColor="text1"/>
        </w:rPr>
        <w:t xml:space="preserve">de mogelijkheid om voortaan een boete op te leggen die meer recht doet aan de </w:t>
      </w:r>
      <w:r w:rsidR="00411FE8">
        <w:rPr>
          <w:color w:val="000000" w:themeColor="text1"/>
        </w:rPr>
        <w:t xml:space="preserve">ernst </w:t>
      </w:r>
      <w:r w:rsidR="001D6899">
        <w:rPr>
          <w:color w:val="000000" w:themeColor="text1"/>
        </w:rPr>
        <w:t xml:space="preserve">van de overtreding. Betrokken ambtenaren </w:t>
      </w:r>
      <w:r w:rsidR="00411FE8">
        <w:rPr>
          <w:color w:val="000000" w:themeColor="text1"/>
        </w:rPr>
        <w:t xml:space="preserve">noemen in dit verband als </w:t>
      </w:r>
      <w:r w:rsidR="00C56E6D">
        <w:rPr>
          <w:color w:val="000000" w:themeColor="text1"/>
        </w:rPr>
        <w:t>voorbeeld de fraude rond LIBOR en EURIBOR.</w:t>
      </w:r>
    </w:p>
    <w:p w14:paraId="5FB1ED44" w14:textId="77777777" w:rsidR="007546B6" w:rsidRDefault="007546B6" w:rsidP="00156E86">
      <w:pPr>
        <w:rPr>
          <w:color w:val="000000" w:themeColor="text1"/>
        </w:rPr>
      </w:pPr>
    </w:p>
    <w:p w14:paraId="5591C38F" w14:textId="5AE4D668" w:rsidR="00D60876" w:rsidRPr="00D60876" w:rsidRDefault="00C0713C">
      <w:pPr>
        <w:rPr>
          <w:i/>
          <w:color w:val="000000" w:themeColor="text1"/>
        </w:rPr>
      </w:pPr>
      <w:r>
        <w:rPr>
          <w:i/>
          <w:color w:val="000000" w:themeColor="text1"/>
        </w:rPr>
        <w:t>De K</w:t>
      </w:r>
      <w:r w:rsidR="00D60876" w:rsidRPr="00D60876">
        <w:rPr>
          <w:i/>
          <w:color w:val="000000" w:themeColor="text1"/>
        </w:rPr>
        <w:t>amerbehandeling</w:t>
      </w:r>
    </w:p>
    <w:p w14:paraId="2A55CE04" w14:textId="39DF0519" w:rsidR="00B95155" w:rsidRDefault="001D6899">
      <w:pPr>
        <w:rPr>
          <w:color w:val="000000" w:themeColor="text1"/>
        </w:rPr>
      </w:pPr>
      <w:r>
        <w:rPr>
          <w:color w:val="000000" w:themeColor="text1"/>
        </w:rPr>
        <w:t xml:space="preserve">In </w:t>
      </w:r>
      <w:r w:rsidR="00C56E6D">
        <w:rPr>
          <w:color w:val="000000" w:themeColor="text1"/>
        </w:rPr>
        <w:t>de Tweede Kame</w:t>
      </w:r>
      <w:r w:rsidR="009B58C6">
        <w:rPr>
          <w:color w:val="000000" w:themeColor="text1"/>
        </w:rPr>
        <w:t>r ko</w:t>
      </w:r>
      <w:r w:rsidR="00C56E6D">
        <w:rPr>
          <w:color w:val="000000" w:themeColor="text1"/>
        </w:rPr>
        <w:t xml:space="preserve">n de </w:t>
      </w:r>
      <w:r w:rsidR="00B95155">
        <w:rPr>
          <w:color w:val="000000" w:themeColor="text1"/>
        </w:rPr>
        <w:t xml:space="preserve">herziening van het boetestelsel op instemming rekenen, zo blijkt uit </w:t>
      </w:r>
      <w:r w:rsidR="0077549A">
        <w:rPr>
          <w:color w:val="000000" w:themeColor="text1"/>
        </w:rPr>
        <w:t xml:space="preserve">de </w:t>
      </w:r>
      <w:r w:rsidR="001D4541">
        <w:rPr>
          <w:color w:val="000000" w:themeColor="text1"/>
        </w:rPr>
        <w:t>schriftelijke behandeling van het wetsvoorstel</w:t>
      </w:r>
      <w:r w:rsidR="00B95155">
        <w:rPr>
          <w:color w:val="000000" w:themeColor="text1"/>
        </w:rPr>
        <w:t xml:space="preserve">. </w:t>
      </w:r>
      <w:r w:rsidR="00FE453A">
        <w:rPr>
          <w:color w:val="000000" w:themeColor="text1"/>
        </w:rPr>
        <w:t xml:space="preserve">De betrokken fracties </w:t>
      </w:r>
      <w:r w:rsidR="00AC5695">
        <w:rPr>
          <w:color w:val="000000" w:themeColor="text1"/>
        </w:rPr>
        <w:t xml:space="preserve">zijn </w:t>
      </w:r>
      <w:r w:rsidR="001D4541">
        <w:rPr>
          <w:color w:val="000000" w:themeColor="text1"/>
        </w:rPr>
        <w:t xml:space="preserve">over het </w:t>
      </w:r>
      <w:r w:rsidR="001D4541">
        <w:rPr>
          <w:color w:val="000000" w:themeColor="text1"/>
        </w:rPr>
        <w:lastRenderedPageBreak/>
        <w:t xml:space="preserve">algemeen </w:t>
      </w:r>
      <w:r w:rsidR="00AC5695">
        <w:rPr>
          <w:color w:val="000000" w:themeColor="text1"/>
        </w:rPr>
        <w:t>voorstander van het hard aanpakken van marktmisbruik.</w:t>
      </w:r>
      <w:r w:rsidR="00FE453A">
        <w:rPr>
          <w:rStyle w:val="FootnoteReference"/>
          <w:color w:val="000000" w:themeColor="text1"/>
        </w:rPr>
        <w:footnoteReference w:id="14"/>
      </w:r>
      <w:r w:rsidR="00AC5695">
        <w:rPr>
          <w:color w:val="000000" w:themeColor="text1"/>
        </w:rPr>
        <w:t xml:space="preserve"> </w:t>
      </w:r>
      <w:r w:rsidR="0077549A">
        <w:rPr>
          <w:color w:val="000000" w:themeColor="text1"/>
        </w:rPr>
        <w:t>Al eerder had Tweede Ka</w:t>
      </w:r>
      <w:r w:rsidR="00C56E6D">
        <w:rPr>
          <w:color w:val="000000" w:themeColor="text1"/>
        </w:rPr>
        <w:t xml:space="preserve">mer de </w:t>
      </w:r>
      <w:r w:rsidR="0077549A">
        <w:rPr>
          <w:color w:val="000000" w:themeColor="text1"/>
        </w:rPr>
        <w:t>motie</w:t>
      </w:r>
      <w:r w:rsidR="00C56E6D">
        <w:rPr>
          <w:color w:val="000000" w:themeColor="text1"/>
        </w:rPr>
        <w:t>-Nijboer</w:t>
      </w:r>
      <w:r w:rsidR="0077549A">
        <w:rPr>
          <w:color w:val="000000" w:themeColor="text1"/>
        </w:rPr>
        <w:t xml:space="preserve"> aangenomen om in algemene zin hogere, in het bijzonder </w:t>
      </w:r>
      <w:proofErr w:type="spellStart"/>
      <w:r w:rsidR="0077549A">
        <w:rPr>
          <w:color w:val="000000" w:themeColor="text1"/>
        </w:rPr>
        <w:t>omzetgerelateerde</w:t>
      </w:r>
      <w:proofErr w:type="spellEnd"/>
      <w:r w:rsidR="0077549A">
        <w:rPr>
          <w:color w:val="000000" w:themeColor="text1"/>
        </w:rPr>
        <w:t xml:space="preserve">, boetes in te voeren in de </w:t>
      </w:r>
      <w:proofErr w:type="spellStart"/>
      <w:r w:rsidR="0077549A">
        <w:rPr>
          <w:color w:val="000000" w:themeColor="text1"/>
        </w:rPr>
        <w:t>Wft</w:t>
      </w:r>
      <w:proofErr w:type="spellEnd"/>
      <w:r w:rsidR="0077549A">
        <w:rPr>
          <w:color w:val="000000" w:themeColor="text1"/>
        </w:rPr>
        <w:t>. Dit omdat financiële instellingen de hen opgelegde boetes in voorkomende gevallen wellicht voor lief zouden nemen.</w:t>
      </w:r>
      <w:r w:rsidR="0077549A">
        <w:rPr>
          <w:rStyle w:val="FootnoteReference"/>
          <w:color w:val="000000" w:themeColor="text1"/>
        </w:rPr>
        <w:footnoteReference w:id="15"/>
      </w:r>
      <w:r w:rsidR="0077549A">
        <w:rPr>
          <w:color w:val="000000" w:themeColor="text1"/>
        </w:rPr>
        <w:t xml:space="preserve"> </w:t>
      </w:r>
      <w:r w:rsidR="00A43325">
        <w:rPr>
          <w:color w:val="000000" w:themeColor="text1"/>
        </w:rPr>
        <w:t>Ook onderschrijven zij het streven tot harmonisatie</w:t>
      </w:r>
      <w:r w:rsidR="001D4541">
        <w:rPr>
          <w:color w:val="000000" w:themeColor="text1"/>
        </w:rPr>
        <w:t xml:space="preserve"> </w:t>
      </w:r>
      <w:r w:rsidR="008C75A1">
        <w:rPr>
          <w:color w:val="000000" w:themeColor="text1"/>
        </w:rPr>
        <w:t xml:space="preserve">van het boetestelsel. </w:t>
      </w:r>
      <w:r w:rsidR="00B95155">
        <w:rPr>
          <w:color w:val="000000" w:themeColor="text1"/>
        </w:rPr>
        <w:t>Zo zijn de leden van de CDA-fractie de regering erkentelijk voor het vinden van een pragmatische oplossing voor de ‘juridische spaghetti’ die het gevolg lijkt van het inpassen van de Europese regelgeving op het gebied van bestuurlijke boetes en andere sanctie</w:t>
      </w:r>
      <w:r w:rsidR="00A320C4">
        <w:rPr>
          <w:color w:val="000000" w:themeColor="text1"/>
        </w:rPr>
        <w:t>s</w:t>
      </w:r>
      <w:r w:rsidR="00B95155">
        <w:rPr>
          <w:color w:val="000000" w:themeColor="text1"/>
        </w:rPr>
        <w:t xml:space="preserve"> in de nationale regelgeving.</w:t>
      </w:r>
      <w:r w:rsidR="00B95155">
        <w:rPr>
          <w:rStyle w:val="FootnoteReference"/>
          <w:color w:val="000000" w:themeColor="text1"/>
        </w:rPr>
        <w:footnoteReference w:id="16"/>
      </w:r>
      <w:r w:rsidR="00B95155">
        <w:rPr>
          <w:color w:val="000000" w:themeColor="text1"/>
        </w:rPr>
        <w:t xml:space="preserve"> </w:t>
      </w:r>
    </w:p>
    <w:p w14:paraId="348129F6" w14:textId="77777777" w:rsidR="0077549A" w:rsidRDefault="0077549A">
      <w:pPr>
        <w:rPr>
          <w:color w:val="000000" w:themeColor="text1"/>
        </w:rPr>
      </w:pPr>
    </w:p>
    <w:p w14:paraId="5809C0C8" w14:textId="53C7EA8C" w:rsidR="002B3473" w:rsidRDefault="009B58C6">
      <w:pPr>
        <w:rPr>
          <w:color w:val="000000" w:themeColor="text1"/>
        </w:rPr>
      </w:pPr>
      <w:r>
        <w:rPr>
          <w:color w:val="000000" w:themeColor="text1"/>
        </w:rPr>
        <w:t>Nog nadrukkelijker bleek</w:t>
      </w:r>
      <w:r w:rsidR="0033724A">
        <w:rPr>
          <w:color w:val="000000" w:themeColor="text1"/>
        </w:rPr>
        <w:t xml:space="preserve"> deze steun </w:t>
      </w:r>
      <w:r w:rsidR="001D4541">
        <w:rPr>
          <w:color w:val="000000" w:themeColor="text1"/>
        </w:rPr>
        <w:t>tijdens de mondelinge behandeling.</w:t>
      </w:r>
      <w:r w:rsidR="00C64562">
        <w:rPr>
          <w:rStyle w:val="FootnoteReference"/>
          <w:color w:val="000000" w:themeColor="text1"/>
        </w:rPr>
        <w:footnoteReference w:id="17"/>
      </w:r>
      <w:r w:rsidR="001D4541">
        <w:rPr>
          <w:color w:val="000000" w:themeColor="text1"/>
        </w:rPr>
        <w:t xml:space="preserve"> </w:t>
      </w:r>
      <w:r>
        <w:rPr>
          <w:color w:val="000000" w:themeColor="text1"/>
        </w:rPr>
        <w:t>Zo stelde</w:t>
      </w:r>
      <w:r w:rsidR="002B3473">
        <w:rPr>
          <w:color w:val="000000" w:themeColor="text1"/>
        </w:rPr>
        <w:t xml:space="preserve"> het Tweede Kamerlid voor de VVD De Vries dat het goed is dat er hoge boetes kunnen worden uitgedeeld, ook gerelat</w:t>
      </w:r>
      <w:r>
        <w:rPr>
          <w:color w:val="000000" w:themeColor="text1"/>
        </w:rPr>
        <w:t>eerd aan de omzet. Zij motiveerde</w:t>
      </w:r>
      <w:r w:rsidR="002B3473">
        <w:rPr>
          <w:color w:val="000000" w:themeColor="text1"/>
        </w:rPr>
        <w:t xml:space="preserve"> dit als volgt.</w:t>
      </w:r>
      <w:r w:rsidR="00803C10">
        <w:rPr>
          <w:rStyle w:val="FootnoteReference"/>
          <w:color w:val="000000" w:themeColor="text1"/>
        </w:rPr>
        <w:footnoteReference w:id="18"/>
      </w:r>
    </w:p>
    <w:p w14:paraId="7572CA95" w14:textId="77777777" w:rsidR="00803C10" w:rsidRDefault="00803C10">
      <w:pPr>
        <w:rPr>
          <w:color w:val="000000" w:themeColor="text1"/>
        </w:rPr>
      </w:pPr>
    </w:p>
    <w:p w14:paraId="4FD2A1BA" w14:textId="2CE6589E" w:rsidR="00803C10" w:rsidRPr="00803C10" w:rsidRDefault="00803C10" w:rsidP="00803C10">
      <w:pPr>
        <w:ind w:left="708"/>
        <w:rPr>
          <w:color w:val="000000" w:themeColor="text1"/>
          <w:sz w:val="22"/>
          <w:szCs w:val="22"/>
        </w:rPr>
      </w:pPr>
      <w:r w:rsidRPr="00803C10">
        <w:rPr>
          <w:color w:val="000000" w:themeColor="text1"/>
          <w:sz w:val="22"/>
          <w:szCs w:val="22"/>
        </w:rPr>
        <w:t>‘We zien wel dat mensen zich eraan ergeren dat degenen die zich schuldig maken aan marktmisbruik soms makkelijk wegkomen zonder st</w:t>
      </w:r>
      <w:r w:rsidR="00A443B5">
        <w:rPr>
          <w:color w:val="000000" w:themeColor="text1"/>
          <w:sz w:val="22"/>
          <w:szCs w:val="22"/>
        </w:rPr>
        <w:t>r</w:t>
      </w:r>
      <w:r w:rsidRPr="00803C10">
        <w:rPr>
          <w:color w:val="000000" w:themeColor="text1"/>
          <w:sz w:val="22"/>
          <w:szCs w:val="22"/>
        </w:rPr>
        <w:t xml:space="preserve">af of met alleen maar een boete.’ </w:t>
      </w:r>
    </w:p>
    <w:p w14:paraId="66FFC6C8" w14:textId="77777777" w:rsidR="002B3473" w:rsidRDefault="002B3473">
      <w:pPr>
        <w:rPr>
          <w:color w:val="000000" w:themeColor="text1"/>
        </w:rPr>
      </w:pPr>
    </w:p>
    <w:p w14:paraId="6972BC6A" w14:textId="7511FB1F" w:rsidR="001D4541" w:rsidRDefault="002B3473">
      <w:pPr>
        <w:rPr>
          <w:color w:val="000000" w:themeColor="text1"/>
        </w:rPr>
      </w:pPr>
      <w:r>
        <w:rPr>
          <w:color w:val="000000" w:themeColor="text1"/>
        </w:rPr>
        <w:t xml:space="preserve">Het </w:t>
      </w:r>
      <w:r w:rsidR="009B58C6">
        <w:rPr>
          <w:color w:val="000000" w:themeColor="text1"/>
        </w:rPr>
        <w:t xml:space="preserve">lid voor de SP </w:t>
      </w:r>
      <w:proofErr w:type="spellStart"/>
      <w:r w:rsidR="009B58C6">
        <w:rPr>
          <w:color w:val="000000" w:themeColor="text1"/>
        </w:rPr>
        <w:t>Merkies</w:t>
      </w:r>
      <w:proofErr w:type="spellEnd"/>
      <w:r w:rsidR="009B58C6">
        <w:rPr>
          <w:color w:val="000000" w:themeColor="text1"/>
        </w:rPr>
        <w:t xml:space="preserve"> verwoorde</w:t>
      </w:r>
      <w:r>
        <w:rPr>
          <w:color w:val="000000" w:themeColor="text1"/>
        </w:rPr>
        <w:t xml:space="preserve"> zijn steun als volgt.</w:t>
      </w:r>
      <w:r>
        <w:rPr>
          <w:rStyle w:val="FootnoteReference"/>
          <w:color w:val="000000" w:themeColor="text1"/>
        </w:rPr>
        <w:footnoteReference w:id="19"/>
      </w:r>
    </w:p>
    <w:p w14:paraId="6A13ABCA" w14:textId="44C799D8" w:rsidR="002B3473" w:rsidRDefault="002B3473">
      <w:pPr>
        <w:rPr>
          <w:color w:val="000000" w:themeColor="text1"/>
        </w:rPr>
      </w:pPr>
    </w:p>
    <w:p w14:paraId="3865C96A" w14:textId="145741B1" w:rsidR="002B3473" w:rsidRPr="002B3473" w:rsidRDefault="002B3473" w:rsidP="002B3473">
      <w:pPr>
        <w:ind w:left="708"/>
        <w:rPr>
          <w:color w:val="000000" w:themeColor="text1"/>
          <w:sz w:val="22"/>
          <w:szCs w:val="22"/>
        </w:rPr>
      </w:pPr>
      <w:r w:rsidRPr="002B3473">
        <w:rPr>
          <w:color w:val="000000" w:themeColor="text1"/>
          <w:sz w:val="22"/>
          <w:szCs w:val="22"/>
        </w:rPr>
        <w:t xml:space="preserve">‘Het probleem met de handel met voorkennis is dat men er heel veel geld mee kan verdienen terwijl de pakkans heel klein is. Om ervoor te zorgen dat het niet loont en men geen berekend gedrag gaat vertonen, waarbij eventuele boetes worden ingecalculeerd, is een hoge straf dus op zijn plaats. Uiteraard is het verhogen van de pakkans het allerbeste.’ </w:t>
      </w:r>
    </w:p>
    <w:p w14:paraId="05EC08C9" w14:textId="77777777" w:rsidR="001D4541" w:rsidRDefault="001D4541">
      <w:pPr>
        <w:rPr>
          <w:color w:val="000000" w:themeColor="text1"/>
        </w:rPr>
      </w:pPr>
    </w:p>
    <w:p w14:paraId="4B19BCAB" w14:textId="310AF298" w:rsidR="001D4541" w:rsidRDefault="00A443B5">
      <w:pPr>
        <w:rPr>
          <w:color w:val="000000" w:themeColor="text1"/>
        </w:rPr>
      </w:pPr>
      <w:r>
        <w:rPr>
          <w:color w:val="000000" w:themeColor="text1"/>
        </w:rPr>
        <w:t xml:space="preserve">Het gaat dus </w:t>
      </w:r>
      <w:r w:rsidR="009B58C6">
        <w:rPr>
          <w:color w:val="000000" w:themeColor="text1"/>
        </w:rPr>
        <w:t xml:space="preserve">vooral </w:t>
      </w:r>
      <w:r>
        <w:rPr>
          <w:color w:val="000000" w:themeColor="text1"/>
        </w:rPr>
        <w:t xml:space="preserve">om afschrikking door </w:t>
      </w:r>
      <w:r w:rsidR="00257B07">
        <w:rPr>
          <w:color w:val="000000" w:themeColor="text1"/>
        </w:rPr>
        <w:t>middel van een hoge boete</w:t>
      </w:r>
      <w:r>
        <w:rPr>
          <w:color w:val="000000" w:themeColor="text1"/>
        </w:rPr>
        <w:t xml:space="preserve">. Daarbij lijken de </w:t>
      </w:r>
      <w:r w:rsidR="002B3473">
        <w:rPr>
          <w:color w:val="000000" w:themeColor="text1"/>
        </w:rPr>
        <w:t>Kamerleden zich</w:t>
      </w:r>
      <w:r>
        <w:rPr>
          <w:color w:val="000000" w:themeColor="text1"/>
        </w:rPr>
        <w:t>, gegeven de voorbeelden die zij</w:t>
      </w:r>
      <w:r w:rsidR="00BB481D">
        <w:rPr>
          <w:color w:val="000000" w:themeColor="text1"/>
        </w:rPr>
        <w:t xml:space="preserve"> aanvoeren,</w:t>
      </w:r>
      <w:r w:rsidR="002B3473">
        <w:rPr>
          <w:color w:val="000000" w:themeColor="text1"/>
        </w:rPr>
        <w:t xml:space="preserve"> niet </w:t>
      </w:r>
      <w:r w:rsidR="00BB481D">
        <w:rPr>
          <w:color w:val="000000" w:themeColor="text1"/>
        </w:rPr>
        <w:t xml:space="preserve">helemaal </w:t>
      </w:r>
      <w:r w:rsidR="0077549A">
        <w:rPr>
          <w:color w:val="000000" w:themeColor="text1"/>
        </w:rPr>
        <w:t xml:space="preserve">te </w:t>
      </w:r>
      <w:r w:rsidR="002B3473">
        <w:rPr>
          <w:color w:val="000000" w:themeColor="text1"/>
        </w:rPr>
        <w:t>realiseren dat het nieuwe boeteplafond geldt voor alle ernstige ove</w:t>
      </w:r>
      <w:r w:rsidR="00BB481D">
        <w:rPr>
          <w:color w:val="000000" w:themeColor="text1"/>
        </w:rPr>
        <w:t>r</w:t>
      </w:r>
      <w:r w:rsidR="002B3473">
        <w:rPr>
          <w:color w:val="000000" w:themeColor="text1"/>
        </w:rPr>
        <w:t xml:space="preserve">tredingen van de </w:t>
      </w:r>
      <w:proofErr w:type="spellStart"/>
      <w:r w:rsidR="002B3473">
        <w:rPr>
          <w:color w:val="000000" w:themeColor="text1"/>
        </w:rPr>
        <w:t>Wft</w:t>
      </w:r>
      <w:proofErr w:type="spellEnd"/>
      <w:r w:rsidR="002B3473">
        <w:rPr>
          <w:color w:val="000000" w:themeColor="text1"/>
        </w:rPr>
        <w:t xml:space="preserve">. </w:t>
      </w:r>
    </w:p>
    <w:p w14:paraId="2202BA2A" w14:textId="77777777" w:rsidR="007B25EF" w:rsidRDefault="007B25EF">
      <w:pPr>
        <w:rPr>
          <w:color w:val="000000" w:themeColor="text1"/>
        </w:rPr>
      </w:pPr>
    </w:p>
    <w:p w14:paraId="48EEFB5A" w14:textId="32015EDC" w:rsidR="007914B4" w:rsidRPr="00C07F8D" w:rsidRDefault="00E663A5" w:rsidP="00C07F8D">
      <w:pPr>
        <w:rPr>
          <w:color w:val="000000" w:themeColor="text1"/>
        </w:rPr>
      </w:pPr>
      <w:r>
        <w:rPr>
          <w:color w:val="000000" w:themeColor="text1"/>
        </w:rPr>
        <w:t xml:space="preserve">In </w:t>
      </w:r>
      <w:r w:rsidR="009B7090">
        <w:rPr>
          <w:color w:val="000000" w:themeColor="text1"/>
        </w:rPr>
        <w:t xml:space="preserve">het </w:t>
      </w:r>
      <w:r w:rsidR="00B52BA7">
        <w:rPr>
          <w:color w:val="000000" w:themeColor="text1"/>
        </w:rPr>
        <w:t>vraaggesprek</w:t>
      </w:r>
      <w:r>
        <w:rPr>
          <w:color w:val="000000" w:themeColor="text1"/>
        </w:rPr>
        <w:t xml:space="preserve"> </w:t>
      </w:r>
      <w:r w:rsidR="009B7090">
        <w:rPr>
          <w:color w:val="000000" w:themeColor="text1"/>
        </w:rPr>
        <w:t>over het wetsvoorstel</w:t>
      </w:r>
      <w:r w:rsidR="00870FBC">
        <w:rPr>
          <w:color w:val="000000" w:themeColor="text1"/>
        </w:rPr>
        <w:t xml:space="preserve"> en het </w:t>
      </w:r>
      <w:proofErr w:type="spellStart"/>
      <w:r w:rsidR="00870FBC">
        <w:rPr>
          <w:color w:val="000000" w:themeColor="text1"/>
        </w:rPr>
        <w:t>kamerdebat</w:t>
      </w:r>
      <w:proofErr w:type="spellEnd"/>
      <w:r w:rsidR="009B7090">
        <w:rPr>
          <w:color w:val="000000" w:themeColor="text1"/>
        </w:rPr>
        <w:t xml:space="preserve"> dat ik met individuele </w:t>
      </w:r>
      <w:r>
        <w:rPr>
          <w:color w:val="000000" w:themeColor="text1"/>
        </w:rPr>
        <w:t xml:space="preserve">Tweede Kamerleden </w:t>
      </w:r>
      <w:r w:rsidR="009B7090">
        <w:rPr>
          <w:color w:val="000000" w:themeColor="text1"/>
        </w:rPr>
        <w:t xml:space="preserve">heb gevoerd, hebben zij </w:t>
      </w:r>
      <w:r>
        <w:rPr>
          <w:color w:val="000000" w:themeColor="text1"/>
        </w:rPr>
        <w:t>hun keuze toe</w:t>
      </w:r>
      <w:r w:rsidR="00D069B7">
        <w:rPr>
          <w:color w:val="000000" w:themeColor="text1"/>
        </w:rPr>
        <w:t>gelicht</w:t>
      </w:r>
      <w:r>
        <w:rPr>
          <w:color w:val="000000" w:themeColor="text1"/>
        </w:rPr>
        <w:t xml:space="preserve">. </w:t>
      </w:r>
      <w:r w:rsidR="00A45EEC">
        <w:rPr>
          <w:color w:val="000000" w:themeColor="text1"/>
        </w:rPr>
        <w:t xml:space="preserve">Hun </w:t>
      </w:r>
      <w:r>
        <w:rPr>
          <w:color w:val="000000" w:themeColor="text1"/>
        </w:rPr>
        <w:t>motief om he</w:t>
      </w:r>
      <w:r w:rsidR="00B52BA7">
        <w:rPr>
          <w:color w:val="000000" w:themeColor="text1"/>
        </w:rPr>
        <w:t>t wetsvoorstel te ondersteunen wa</w:t>
      </w:r>
      <w:r>
        <w:rPr>
          <w:color w:val="000000" w:themeColor="text1"/>
        </w:rPr>
        <w:t xml:space="preserve">s </w:t>
      </w:r>
      <w:r w:rsidR="00870FBC">
        <w:rPr>
          <w:color w:val="000000" w:themeColor="text1"/>
        </w:rPr>
        <w:t xml:space="preserve">op </w:t>
      </w:r>
      <w:r w:rsidR="00D069B7">
        <w:rPr>
          <w:color w:val="000000" w:themeColor="text1"/>
        </w:rPr>
        <w:t>de eerste plaats</w:t>
      </w:r>
      <w:r w:rsidR="00CD6464">
        <w:rPr>
          <w:color w:val="000000" w:themeColor="text1"/>
        </w:rPr>
        <w:t>, wat ik zou willen noemen,</w:t>
      </w:r>
      <w:r w:rsidR="00D069B7">
        <w:rPr>
          <w:color w:val="000000" w:themeColor="text1"/>
        </w:rPr>
        <w:t xml:space="preserve"> </w:t>
      </w:r>
      <w:r>
        <w:rPr>
          <w:color w:val="000000" w:themeColor="text1"/>
        </w:rPr>
        <w:t xml:space="preserve">het vertolken van de maatschappelijke onvrede over het gedrag van financiële instellingen en hun bestuurders tijdens rondom de financiële crisis. </w:t>
      </w:r>
      <w:r w:rsidR="00A45EEC">
        <w:rPr>
          <w:color w:val="000000" w:themeColor="text1"/>
        </w:rPr>
        <w:t>Zij r</w:t>
      </w:r>
      <w:r w:rsidR="00B52BA7">
        <w:rPr>
          <w:color w:val="000000" w:themeColor="text1"/>
        </w:rPr>
        <w:t xml:space="preserve">efereerden in dit verband </w:t>
      </w:r>
      <w:r w:rsidR="00A45EEC">
        <w:rPr>
          <w:color w:val="000000" w:themeColor="text1"/>
        </w:rPr>
        <w:t xml:space="preserve">aan een beeld dat zou leven in de samenleving dat ‘bankiers’ te gemakkelijk met een overtreding weg zouden kunnen komen en hun gedrag </w:t>
      </w:r>
      <w:r w:rsidR="008349F1">
        <w:rPr>
          <w:color w:val="000000" w:themeColor="text1"/>
        </w:rPr>
        <w:t xml:space="preserve">daarom </w:t>
      </w:r>
      <w:r w:rsidR="00A45EEC">
        <w:rPr>
          <w:color w:val="000000" w:themeColor="text1"/>
        </w:rPr>
        <w:t xml:space="preserve">onvoldoende zouden aanpassen. </w:t>
      </w:r>
      <w:r w:rsidR="0020379A">
        <w:rPr>
          <w:color w:val="000000" w:themeColor="text1"/>
        </w:rPr>
        <w:t xml:space="preserve">Als voorbeeld noemden zij in dit verband de </w:t>
      </w:r>
      <w:r w:rsidR="00205C51">
        <w:rPr>
          <w:color w:val="000000" w:themeColor="text1"/>
        </w:rPr>
        <w:t xml:space="preserve">afhandeling van de LIBOR-fraude en </w:t>
      </w:r>
      <w:r w:rsidR="0020379A">
        <w:rPr>
          <w:color w:val="000000" w:themeColor="text1"/>
        </w:rPr>
        <w:t xml:space="preserve">de fraude </w:t>
      </w:r>
      <w:r w:rsidR="00205C51">
        <w:rPr>
          <w:color w:val="000000" w:themeColor="text1"/>
        </w:rPr>
        <w:t xml:space="preserve">bij de SNS Bank. </w:t>
      </w:r>
      <w:r w:rsidR="008F134F">
        <w:rPr>
          <w:color w:val="000000" w:themeColor="text1"/>
        </w:rPr>
        <w:t xml:space="preserve">Vergelijkbare overtredingen zouden door toezichthouders in het </w:t>
      </w:r>
      <w:r w:rsidR="008F134F" w:rsidRPr="00C07F8D">
        <w:rPr>
          <w:color w:val="000000" w:themeColor="text1"/>
        </w:rPr>
        <w:t xml:space="preserve">Verenigd Koninkrijk en de Verenigde Staten veel strenger zijn aangepakt. </w:t>
      </w:r>
      <w:r w:rsidR="00C07F8D" w:rsidRPr="00C07F8D">
        <w:rPr>
          <w:color w:val="000000" w:themeColor="text1"/>
        </w:rPr>
        <w:t xml:space="preserve">Zo stelt De Vries dat </w:t>
      </w:r>
      <w:r w:rsidR="00C07F8D">
        <w:rPr>
          <w:color w:val="000000" w:themeColor="text1"/>
        </w:rPr>
        <w:t>‘h</w:t>
      </w:r>
      <w:r w:rsidR="00355DEC" w:rsidRPr="00C07F8D">
        <w:rPr>
          <w:color w:val="000000" w:themeColor="text1"/>
        </w:rPr>
        <w:t xml:space="preserve">oge boetes appelleren aan het geschonden vertrouwen in de financiële sector.’ </w:t>
      </w:r>
    </w:p>
    <w:p w14:paraId="05B9372C" w14:textId="77777777" w:rsidR="007914B4" w:rsidRDefault="007914B4" w:rsidP="007914B4">
      <w:pPr>
        <w:rPr>
          <w:color w:val="000000" w:themeColor="text1"/>
        </w:rPr>
      </w:pPr>
    </w:p>
    <w:p w14:paraId="410C25AE" w14:textId="55C4C964" w:rsidR="00995E66" w:rsidRPr="00652DA6" w:rsidRDefault="00A45EEC" w:rsidP="007914B4">
      <w:pPr>
        <w:rPr>
          <w:color w:val="000000" w:themeColor="text1"/>
        </w:rPr>
      </w:pPr>
      <w:r>
        <w:rPr>
          <w:color w:val="000000" w:themeColor="text1"/>
        </w:rPr>
        <w:t>Ik zie dit</w:t>
      </w:r>
      <w:r w:rsidR="00995E66">
        <w:rPr>
          <w:color w:val="000000" w:themeColor="text1"/>
        </w:rPr>
        <w:t xml:space="preserve"> vooral als het </w:t>
      </w:r>
      <w:r>
        <w:rPr>
          <w:color w:val="000000" w:themeColor="text1"/>
        </w:rPr>
        <w:t>politiek</w:t>
      </w:r>
      <w:r w:rsidR="00995E66">
        <w:rPr>
          <w:color w:val="000000" w:themeColor="text1"/>
        </w:rPr>
        <w:t>e</w:t>
      </w:r>
      <w:r w:rsidR="00870FBC">
        <w:rPr>
          <w:color w:val="000000" w:themeColor="text1"/>
        </w:rPr>
        <w:t xml:space="preserve"> motief. De Tweede Kamerleden willen hiermee immers tegemoet komen aan onvrede die binnen hun achterban zou leven. </w:t>
      </w:r>
      <w:r w:rsidR="00EA5DBC">
        <w:rPr>
          <w:color w:val="000000" w:themeColor="text1"/>
        </w:rPr>
        <w:t xml:space="preserve">De verhoging van het boeteplafond moet de indruk wekken van een overheid die paal en perk stelt aan </w:t>
      </w:r>
      <w:r w:rsidR="00EA5DBC">
        <w:rPr>
          <w:color w:val="000000" w:themeColor="text1"/>
        </w:rPr>
        <w:lastRenderedPageBreak/>
        <w:t xml:space="preserve">misstanden in de financiële sector. </w:t>
      </w:r>
      <w:r>
        <w:rPr>
          <w:color w:val="000000" w:themeColor="text1"/>
        </w:rPr>
        <w:t xml:space="preserve">Een </w:t>
      </w:r>
      <w:r w:rsidR="00D069B7">
        <w:rPr>
          <w:color w:val="000000" w:themeColor="text1"/>
        </w:rPr>
        <w:t xml:space="preserve">tweede en </w:t>
      </w:r>
      <w:r>
        <w:rPr>
          <w:color w:val="000000" w:themeColor="text1"/>
        </w:rPr>
        <w:t xml:space="preserve">meer </w:t>
      </w:r>
      <w:r w:rsidR="00870FBC">
        <w:rPr>
          <w:color w:val="000000" w:themeColor="text1"/>
        </w:rPr>
        <w:t>technocratisch</w:t>
      </w:r>
      <w:r>
        <w:rPr>
          <w:color w:val="000000" w:themeColor="text1"/>
        </w:rPr>
        <w:t xml:space="preserve"> </w:t>
      </w:r>
      <w:r w:rsidR="00870FBC">
        <w:rPr>
          <w:color w:val="000000" w:themeColor="text1"/>
        </w:rPr>
        <w:t>of beleids</w:t>
      </w:r>
      <w:r>
        <w:rPr>
          <w:color w:val="000000" w:themeColor="text1"/>
        </w:rPr>
        <w:t xml:space="preserve">motief was de evenredigheid van de sanctie. </w:t>
      </w:r>
      <w:r w:rsidR="00995E66">
        <w:rPr>
          <w:color w:val="000000" w:themeColor="text1"/>
        </w:rPr>
        <w:t xml:space="preserve">Een boete moet volgens de betreffende Kamerleden passend zijn. </w:t>
      </w:r>
      <w:r w:rsidR="00652DA6">
        <w:rPr>
          <w:color w:val="000000" w:themeColor="text1"/>
        </w:rPr>
        <w:t>Het gaat im</w:t>
      </w:r>
      <w:r w:rsidR="00DD0021">
        <w:rPr>
          <w:color w:val="000000" w:themeColor="text1"/>
        </w:rPr>
        <w:t xml:space="preserve">mers om ernstige overtredingen </w:t>
      </w:r>
      <w:r w:rsidR="00652DA6">
        <w:rPr>
          <w:color w:val="000000" w:themeColor="text1"/>
        </w:rPr>
        <w:t>die verstrekkende maatschappelijk</w:t>
      </w:r>
      <w:r w:rsidR="00FC3DEF">
        <w:rPr>
          <w:color w:val="000000" w:themeColor="text1"/>
        </w:rPr>
        <w:t>e</w:t>
      </w:r>
      <w:r w:rsidR="00652DA6">
        <w:rPr>
          <w:color w:val="000000" w:themeColor="text1"/>
        </w:rPr>
        <w:t xml:space="preserve"> gevolgen kunnen hebben. </w:t>
      </w:r>
      <w:r w:rsidR="00995E66">
        <w:rPr>
          <w:color w:val="000000" w:themeColor="text1"/>
        </w:rPr>
        <w:t xml:space="preserve">Bij omvangrijke en zeer draagkrachtige ondernemingen zou </w:t>
      </w:r>
      <w:r w:rsidR="00652DA6">
        <w:rPr>
          <w:color w:val="000000" w:themeColor="text1"/>
        </w:rPr>
        <w:t>d</w:t>
      </w:r>
      <w:r w:rsidR="008F3840">
        <w:rPr>
          <w:color w:val="000000" w:themeColor="text1"/>
        </w:rPr>
        <w:t>at t</w:t>
      </w:r>
      <w:r w:rsidR="00652DA6">
        <w:rPr>
          <w:color w:val="000000" w:themeColor="text1"/>
        </w:rPr>
        <w:t>ot nog</w:t>
      </w:r>
      <w:r w:rsidR="00995E66">
        <w:rPr>
          <w:color w:val="000000" w:themeColor="text1"/>
        </w:rPr>
        <w:t xml:space="preserve"> toe </w:t>
      </w:r>
      <w:r w:rsidR="00652DA6">
        <w:rPr>
          <w:color w:val="000000" w:themeColor="text1"/>
        </w:rPr>
        <w:t>onvoldoende</w:t>
      </w:r>
      <w:r w:rsidR="008F3840">
        <w:rPr>
          <w:color w:val="000000" w:themeColor="text1"/>
        </w:rPr>
        <w:t xml:space="preserve"> het geval zijn</w:t>
      </w:r>
      <w:r w:rsidR="008349F1">
        <w:rPr>
          <w:color w:val="000000" w:themeColor="text1"/>
        </w:rPr>
        <w:t xml:space="preserve"> geweest</w:t>
      </w:r>
      <w:r w:rsidR="00995E66">
        <w:rPr>
          <w:color w:val="000000" w:themeColor="text1"/>
        </w:rPr>
        <w:t xml:space="preserve">. </w:t>
      </w:r>
      <w:r w:rsidR="00652DA6">
        <w:rPr>
          <w:color w:val="000000" w:themeColor="text1"/>
        </w:rPr>
        <w:t>Een boete moet volgens hen wel impact hebben op d</w:t>
      </w:r>
      <w:r w:rsidR="00E92773">
        <w:rPr>
          <w:color w:val="000000" w:themeColor="text1"/>
        </w:rPr>
        <w:t>e financiële instelling</w:t>
      </w:r>
      <w:r w:rsidR="009859E0">
        <w:rPr>
          <w:color w:val="000000" w:themeColor="text1"/>
        </w:rPr>
        <w:t xml:space="preserve"> en een prikkel vormen om zich aan de norm te houden. </w:t>
      </w:r>
      <w:proofErr w:type="spellStart"/>
      <w:r w:rsidR="00995E66">
        <w:rPr>
          <w:color w:val="000000" w:themeColor="text1"/>
        </w:rPr>
        <w:t>Merkies</w:t>
      </w:r>
      <w:proofErr w:type="spellEnd"/>
      <w:r w:rsidR="00995E66">
        <w:rPr>
          <w:color w:val="000000" w:themeColor="text1"/>
        </w:rPr>
        <w:t xml:space="preserve"> licht dit als volgt toe.</w:t>
      </w:r>
    </w:p>
    <w:p w14:paraId="7431421B" w14:textId="77777777" w:rsidR="00995E66" w:rsidRDefault="00995E66" w:rsidP="007914B4">
      <w:pPr>
        <w:rPr>
          <w:color w:val="000000" w:themeColor="text1"/>
        </w:rPr>
      </w:pPr>
    </w:p>
    <w:p w14:paraId="20C1F8D3" w14:textId="602C5C5C" w:rsidR="00995E66" w:rsidRPr="00995E66" w:rsidRDefault="00995E66" w:rsidP="00995E66">
      <w:pPr>
        <w:ind w:left="708"/>
        <w:rPr>
          <w:color w:val="000000" w:themeColor="text1"/>
          <w:sz w:val="22"/>
          <w:szCs w:val="22"/>
        </w:rPr>
      </w:pPr>
      <w:r w:rsidRPr="00995E66">
        <w:rPr>
          <w:color w:val="000000" w:themeColor="text1"/>
          <w:sz w:val="22"/>
          <w:szCs w:val="22"/>
        </w:rPr>
        <w:t>‘Een hoge boete moet calculerend gedrag ontmoedigen. Overtreders blijken veelal geld</w:t>
      </w:r>
      <w:r w:rsidR="00FC3DEF">
        <w:rPr>
          <w:color w:val="000000" w:themeColor="text1"/>
          <w:sz w:val="22"/>
          <w:szCs w:val="22"/>
        </w:rPr>
        <w:t xml:space="preserve"> </w:t>
      </w:r>
      <w:r w:rsidRPr="00995E66">
        <w:rPr>
          <w:color w:val="000000" w:themeColor="text1"/>
          <w:sz w:val="22"/>
          <w:szCs w:val="22"/>
        </w:rPr>
        <w:t>gedreven, ze streven naar aanzien binnen de financiële</w:t>
      </w:r>
      <w:r>
        <w:rPr>
          <w:color w:val="000000" w:themeColor="text1"/>
          <w:sz w:val="22"/>
          <w:szCs w:val="22"/>
        </w:rPr>
        <w:t xml:space="preserve"> sector. Een hoge boete moet dan afschrikken</w:t>
      </w:r>
      <w:r w:rsidRPr="00995E66">
        <w:rPr>
          <w:color w:val="000000" w:themeColor="text1"/>
          <w:sz w:val="22"/>
          <w:szCs w:val="22"/>
        </w:rPr>
        <w:t xml:space="preserve">.’  </w:t>
      </w:r>
    </w:p>
    <w:p w14:paraId="646048B6" w14:textId="77777777" w:rsidR="00995E66" w:rsidRDefault="00995E66" w:rsidP="007914B4">
      <w:pPr>
        <w:rPr>
          <w:color w:val="000000" w:themeColor="text1"/>
        </w:rPr>
      </w:pPr>
    </w:p>
    <w:p w14:paraId="3B23ED7F" w14:textId="1963DBAB" w:rsidR="00995E66" w:rsidRDefault="00995E66" w:rsidP="00995E66">
      <w:pPr>
        <w:rPr>
          <w:color w:val="000000" w:themeColor="text1"/>
        </w:rPr>
      </w:pPr>
      <w:r>
        <w:rPr>
          <w:color w:val="000000" w:themeColor="text1"/>
        </w:rPr>
        <w:t xml:space="preserve">Verder zou </w:t>
      </w:r>
      <w:r w:rsidR="00B849B1">
        <w:rPr>
          <w:color w:val="000000" w:themeColor="text1"/>
        </w:rPr>
        <w:t xml:space="preserve">ook </w:t>
      </w:r>
      <w:r>
        <w:rPr>
          <w:color w:val="000000" w:themeColor="text1"/>
        </w:rPr>
        <w:t xml:space="preserve">de </w:t>
      </w:r>
      <w:r w:rsidR="00B849B1">
        <w:rPr>
          <w:color w:val="000000" w:themeColor="text1"/>
        </w:rPr>
        <w:t xml:space="preserve">relatief </w:t>
      </w:r>
      <w:r>
        <w:rPr>
          <w:color w:val="000000" w:themeColor="text1"/>
        </w:rPr>
        <w:t xml:space="preserve">geringe pakkans moeten worden gecompenseerd door een hoge boete. </w:t>
      </w:r>
      <w:r w:rsidR="00B849B1">
        <w:rPr>
          <w:color w:val="000000" w:themeColor="text1"/>
        </w:rPr>
        <w:t xml:space="preserve">Een hoge en </w:t>
      </w:r>
      <w:proofErr w:type="spellStart"/>
      <w:r w:rsidR="00B849B1">
        <w:rPr>
          <w:color w:val="000000" w:themeColor="text1"/>
        </w:rPr>
        <w:t>omzetgerelateerde</w:t>
      </w:r>
      <w:proofErr w:type="spellEnd"/>
      <w:r w:rsidR="00B849B1">
        <w:rPr>
          <w:color w:val="000000" w:themeColor="text1"/>
        </w:rPr>
        <w:t xml:space="preserve"> boete is dus op zijn plaats, </w:t>
      </w:r>
      <w:r w:rsidR="00B52BA7">
        <w:rPr>
          <w:color w:val="000000" w:themeColor="text1"/>
        </w:rPr>
        <w:t>aldus de Kamerleden</w:t>
      </w:r>
      <w:r w:rsidR="00B849B1">
        <w:rPr>
          <w:color w:val="000000" w:themeColor="text1"/>
        </w:rPr>
        <w:t xml:space="preserve">, het </w:t>
      </w:r>
      <w:r w:rsidR="008349F1">
        <w:rPr>
          <w:color w:val="000000" w:themeColor="text1"/>
        </w:rPr>
        <w:t xml:space="preserve">is dan </w:t>
      </w:r>
      <w:r w:rsidR="00B849B1">
        <w:rPr>
          <w:color w:val="000000" w:themeColor="text1"/>
        </w:rPr>
        <w:t xml:space="preserve">vervolgens aan de toezichthouder om de proportionaliteit te wegen. </w:t>
      </w:r>
    </w:p>
    <w:p w14:paraId="6C5AE4A5" w14:textId="77777777" w:rsidR="00995E66" w:rsidRDefault="00995E66" w:rsidP="007914B4">
      <w:pPr>
        <w:rPr>
          <w:color w:val="000000" w:themeColor="text1"/>
        </w:rPr>
      </w:pPr>
    </w:p>
    <w:p w14:paraId="31D04E88" w14:textId="02EBAE66" w:rsidR="00E92773" w:rsidRDefault="00680307" w:rsidP="00B63EAD">
      <w:pPr>
        <w:rPr>
          <w:color w:val="000000" w:themeColor="text1"/>
        </w:rPr>
      </w:pPr>
      <w:r>
        <w:rPr>
          <w:color w:val="000000" w:themeColor="text1"/>
        </w:rPr>
        <w:t xml:space="preserve">In hun afwegingen hebben de betreffende Kamerleden ook wel de </w:t>
      </w:r>
      <w:r w:rsidR="008349F1">
        <w:rPr>
          <w:color w:val="000000" w:themeColor="text1"/>
        </w:rPr>
        <w:t xml:space="preserve">vraag betrokken of </w:t>
      </w:r>
      <w:r>
        <w:rPr>
          <w:color w:val="000000" w:themeColor="text1"/>
        </w:rPr>
        <w:t xml:space="preserve">hoge straffen </w:t>
      </w:r>
      <w:r w:rsidR="008349F1">
        <w:rPr>
          <w:color w:val="000000" w:themeColor="text1"/>
        </w:rPr>
        <w:t>nu wel zo effectief zijn</w:t>
      </w:r>
      <w:r>
        <w:rPr>
          <w:color w:val="000000" w:themeColor="text1"/>
        </w:rPr>
        <w:t xml:space="preserve">, maar doorslaggevend was toch </w:t>
      </w:r>
      <w:r w:rsidR="00E2730C">
        <w:rPr>
          <w:color w:val="000000" w:themeColor="text1"/>
        </w:rPr>
        <w:t xml:space="preserve">vooral </w:t>
      </w:r>
      <w:r w:rsidR="0020379A">
        <w:rPr>
          <w:color w:val="000000" w:themeColor="text1"/>
        </w:rPr>
        <w:t xml:space="preserve">het kunnen opleggen van een evenredige </w:t>
      </w:r>
      <w:r>
        <w:rPr>
          <w:color w:val="000000" w:themeColor="text1"/>
        </w:rPr>
        <w:t>sanctie.</w:t>
      </w:r>
      <w:r w:rsidR="00E20CD4">
        <w:rPr>
          <w:color w:val="000000" w:themeColor="text1"/>
        </w:rPr>
        <w:t xml:space="preserve"> </w:t>
      </w:r>
      <w:r>
        <w:rPr>
          <w:color w:val="000000" w:themeColor="text1"/>
        </w:rPr>
        <w:t xml:space="preserve">Dat betekent </w:t>
      </w:r>
      <w:r w:rsidR="0020379A">
        <w:rPr>
          <w:color w:val="000000" w:themeColor="text1"/>
        </w:rPr>
        <w:t xml:space="preserve">overigens </w:t>
      </w:r>
      <w:r>
        <w:rPr>
          <w:color w:val="000000" w:themeColor="text1"/>
        </w:rPr>
        <w:t>niet dat zij uitsluitend op een repressief spoor zitten, zij bepleit</w:t>
      </w:r>
      <w:r w:rsidR="003D2F8E">
        <w:rPr>
          <w:color w:val="000000" w:themeColor="text1"/>
        </w:rPr>
        <w:t>t</w:t>
      </w:r>
      <w:r>
        <w:rPr>
          <w:color w:val="000000" w:themeColor="text1"/>
        </w:rPr>
        <w:t>en ook een preventieve aanpak</w:t>
      </w:r>
      <w:r w:rsidR="001234EC">
        <w:rPr>
          <w:color w:val="000000" w:themeColor="text1"/>
        </w:rPr>
        <w:t xml:space="preserve">. </w:t>
      </w:r>
      <w:r w:rsidR="0020379A">
        <w:rPr>
          <w:color w:val="000000" w:themeColor="text1"/>
        </w:rPr>
        <w:t xml:space="preserve">Maar de </w:t>
      </w:r>
      <w:r w:rsidR="0032077C">
        <w:rPr>
          <w:color w:val="000000" w:themeColor="text1"/>
        </w:rPr>
        <w:t xml:space="preserve">door de banken ingezette cultuuromslag en gedragsverandering moet </w:t>
      </w:r>
      <w:r w:rsidR="008349F1">
        <w:rPr>
          <w:color w:val="000000" w:themeColor="text1"/>
        </w:rPr>
        <w:t xml:space="preserve">in hun ogen </w:t>
      </w:r>
      <w:r w:rsidR="0020379A">
        <w:rPr>
          <w:color w:val="000000" w:themeColor="text1"/>
        </w:rPr>
        <w:t xml:space="preserve">wel </w:t>
      </w:r>
      <w:r w:rsidR="0032077C">
        <w:rPr>
          <w:color w:val="000000" w:themeColor="text1"/>
        </w:rPr>
        <w:t>worden bestendigd door streng toezicht en</w:t>
      </w:r>
      <w:r w:rsidR="003D2F8E">
        <w:rPr>
          <w:color w:val="000000" w:themeColor="text1"/>
        </w:rPr>
        <w:t xml:space="preserve"> hoge boetes</w:t>
      </w:r>
      <w:r w:rsidR="0032077C">
        <w:rPr>
          <w:color w:val="000000" w:themeColor="text1"/>
        </w:rPr>
        <w:t xml:space="preserve">, anders ebt die </w:t>
      </w:r>
      <w:r w:rsidR="003D2F8E">
        <w:rPr>
          <w:color w:val="000000" w:themeColor="text1"/>
        </w:rPr>
        <w:t>weer weg</w:t>
      </w:r>
      <w:r w:rsidR="0032077C">
        <w:rPr>
          <w:color w:val="000000" w:themeColor="text1"/>
        </w:rPr>
        <w:t>.</w:t>
      </w:r>
    </w:p>
    <w:p w14:paraId="4A867FDA" w14:textId="77777777" w:rsidR="00FC64A5" w:rsidRDefault="00FC64A5" w:rsidP="00B63EAD">
      <w:pPr>
        <w:rPr>
          <w:color w:val="000000" w:themeColor="text1"/>
        </w:rPr>
      </w:pPr>
    </w:p>
    <w:p w14:paraId="3A12B118" w14:textId="763739D1" w:rsidR="00A728F0" w:rsidRPr="00A728F0" w:rsidRDefault="00BB056F" w:rsidP="00B63EAD">
      <w:pPr>
        <w:rPr>
          <w:i/>
          <w:color w:val="000000" w:themeColor="text1"/>
        </w:rPr>
      </w:pPr>
      <w:r>
        <w:rPr>
          <w:i/>
          <w:color w:val="000000" w:themeColor="text1"/>
        </w:rPr>
        <w:t>Punitief klimaat</w:t>
      </w:r>
    </w:p>
    <w:p w14:paraId="728D34E3" w14:textId="4B4957CF" w:rsidR="00E20CD4" w:rsidRDefault="00BB056F" w:rsidP="00B63EAD">
      <w:pPr>
        <w:rPr>
          <w:color w:val="000000" w:themeColor="text1"/>
        </w:rPr>
      </w:pPr>
      <w:r>
        <w:rPr>
          <w:color w:val="000000" w:themeColor="text1"/>
        </w:rPr>
        <w:t>Overigens past e</w:t>
      </w:r>
      <w:r w:rsidR="00E51564">
        <w:rPr>
          <w:color w:val="000000" w:themeColor="text1"/>
        </w:rPr>
        <w:t>erdergenoemd</w:t>
      </w:r>
      <w:r w:rsidR="00E20CD4">
        <w:rPr>
          <w:color w:val="000000" w:themeColor="text1"/>
        </w:rPr>
        <w:t>e wens om hogere boetes op te leggen</w:t>
      </w:r>
      <w:r>
        <w:rPr>
          <w:color w:val="000000" w:themeColor="text1"/>
        </w:rPr>
        <w:t xml:space="preserve"> </w:t>
      </w:r>
      <w:r w:rsidR="002F6F40">
        <w:rPr>
          <w:color w:val="000000" w:themeColor="text1"/>
        </w:rPr>
        <w:t xml:space="preserve">binnen een breder kader </w:t>
      </w:r>
      <w:r w:rsidR="00C96950">
        <w:rPr>
          <w:color w:val="000000" w:themeColor="text1"/>
        </w:rPr>
        <w:t>van een strengere aanpak van financieel-economische criminaliteit</w:t>
      </w:r>
      <w:r w:rsidR="00E51564">
        <w:rPr>
          <w:color w:val="000000" w:themeColor="text1"/>
        </w:rPr>
        <w:t xml:space="preserve">. </w:t>
      </w:r>
      <w:r w:rsidR="00C96950">
        <w:rPr>
          <w:color w:val="000000" w:themeColor="text1"/>
        </w:rPr>
        <w:t xml:space="preserve">Waar sprake lijkt van een afname van reguliere criminaliteit, </w:t>
      </w:r>
      <w:r w:rsidR="002F6F40">
        <w:rPr>
          <w:color w:val="000000" w:themeColor="text1"/>
        </w:rPr>
        <w:t xml:space="preserve">wijst </w:t>
      </w:r>
      <w:r w:rsidR="00E51564">
        <w:rPr>
          <w:color w:val="000000" w:themeColor="text1"/>
        </w:rPr>
        <w:t>Huisman</w:t>
      </w:r>
      <w:r w:rsidR="002F6F40">
        <w:rPr>
          <w:color w:val="000000" w:themeColor="text1"/>
        </w:rPr>
        <w:t xml:space="preserve"> op een</w:t>
      </w:r>
      <w:r w:rsidR="00E51564">
        <w:rPr>
          <w:color w:val="000000" w:themeColor="text1"/>
        </w:rPr>
        <w:t xml:space="preserve"> </w:t>
      </w:r>
      <w:r w:rsidR="002F6F40">
        <w:rPr>
          <w:color w:val="000000" w:themeColor="text1"/>
        </w:rPr>
        <w:t xml:space="preserve">intensivering van de aanpak </w:t>
      </w:r>
      <w:r w:rsidR="00D27C03">
        <w:rPr>
          <w:color w:val="000000" w:themeColor="text1"/>
        </w:rPr>
        <w:t>van financieel-economische criminaliteit</w:t>
      </w:r>
      <w:r w:rsidR="002F6F40">
        <w:rPr>
          <w:color w:val="000000" w:themeColor="text1"/>
        </w:rPr>
        <w:t xml:space="preserve">. Hij signaleert op dit punt </w:t>
      </w:r>
      <w:r w:rsidR="00E51564">
        <w:rPr>
          <w:color w:val="000000" w:themeColor="text1"/>
        </w:rPr>
        <w:t xml:space="preserve">een </w:t>
      </w:r>
      <w:r w:rsidR="008242D5">
        <w:rPr>
          <w:color w:val="000000" w:themeColor="text1"/>
        </w:rPr>
        <w:t>‘</w:t>
      </w:r>
      <w:r w:rsidR="00E51564">
        <w:rPr>
          <w:color w:val="000000" w:themeColor="text1"/>
        </w:rPr>
        <w:t>punitieve draai</w:t>
      </w:r>
      <w:r w:rsidR="008242D5">
        <w:rPr>
          <w:color w:val="000000" w:themeColor="text1"/>
        </w:rPr>
        <w:t xml:space="preserve">’, tot uitdrukking komend in de verhoging van de strafmaat in het Wetboek van Strafrecht, hogere straffen door strafrechters en </w:t>
      </w:r>
      <w:r w:rsidR="00AF2386">
        <w:rPr>
          <w:color w:val="000000" w:themeColor="text1"/>
        </w:rPr>
        <w:t xml:space="preserve">zeer </w:t>
      </w:r>
      <w:r w:rsidR="008242D5">
        <w:rPr>
          <w:color w:val="000000" w:themeColor="text1"/>
        </w:rPr>
        <w:t xml:space="preserve">hoge schikkingen door het Openbaar Ministerie </w:t>
      </w:r>
      <w:r w:rsidR="008754EF">
        <w:rPr>
          <w:color w:val="000000" w:themeColor="text1"/>
        </w:rPr>
        <w:t>(2016, p. 4).</w:t>
      </w:r>
      <w:r w:rsidR="00500957">
        <w:rPr>
          <w:color w:val="000000" w:themeColor="text1"/>
        </w:rPr>
        <w:t xml:space="preserve"> </w:t>
      </w:r>
      <w:r w:rsidR="008754EF">
        <w:rPr>
          <w:color w:val="000000" w:themeColor="text1"/>
        </w:rPr>
        <w:t xml:space="preserve">Hij is geneigd die </w:t>
      </w:r>
      <w:r w:rsidR="00C12FDF">
        <w:rPr>
          <w:color w:val="000000" w:themeColor="text1"/>
        </w:rPr>
        <w:t xml:space="preserve">draai </w:t>
      </w:r>
      <w:r w:rsidR="008754EF">
        <w:rPr>
          <w:color w:val="000000" w:themeColor="text1"/>
        </w:rPr>
        <w:t xml:space="preserve">in verband te brengen met een </w:t>
      </w:r>
      <w:r w:rsidR="008A4E68">
        <w:rPr>
          <w:color w:val="000000" w:themeColor="text1"/>
        </w:rPr>
        <w:t>mogelijke toename van de ernst en omvang van deze criminaliteit, blijkend uit de vele, recente schandalen</w:t>
      </w:r>
      <w:r w:rsidR="008242D5">
        <w:rPr>
          <w:color w:val="000000" w:themeColor="text1"/>
        </w:rPr>
        <w:t xml:space="preserve"> en een toegenomen maatschappelijke zorg daarover (waar de Kamerleden ook aan refereerden). </w:t>
      </w:r>
      <w:r w:rsidR="00D906B0">
        <w:rPr>
          <w:color w:val="000000" w:themeColor="text1"/>
        </w:rPr>
        <w:t xml:space="preserve">Dit speelt ook op het terrein van de zogenoemde bijzondere wetten. Zo schrijft </w:t>
      </w:r>
      <w:proofErr w:type="spellStart"/>
      <w:r w:rsidR="0027780C">
        <w:rPr>
          <w:color w:val="000000" w:themeColor="text1"/>
        </w:rPr>
        <w:t>Br</w:t>
      </w:r>
      <w:r w:rsidR="0027780C">
        <w:rPr>
          <w:rFonts w:ascii="Calibri" w:hAnsi="Calibri"/>
          <w:color w:val="000000" w:themeColor="text1"/>
        </w:rPr>
        <w:t>ö</w:t>
      </w:r>
      <w:r w:rsidR="00D906B0">
        <w:rPr>
          <w:color w:val="000000" w:themeColor="text1"/>
        </w:rPr>
        <w:t>ring</w:t>
      </w:r>
      <w:proofErr w:type="spellEnd"/>
      <w:r w:rsidR="0027780C">
        <w:rPr>
          <w:color w:val="000000" w:themeColor="text1"/>
        </w:rPr>
        <w:t xml:space="preserve"> de hoge boetes </w:t>
      </w:r>
      <w:r w:rsidR="00D906B0">
        <w:rPr>
          <w:color w:val="000000" w:themeColor="text1"/>
        </w:rPr>
        <w:t xml:space="preserve">in deze wetten toe </w:t>
      </w:r>
      <w:r w:rsidR="00210202">
        <w:rPr>
          <w:color w:val="000000" w:themeColor="text1"/>
        </w:rPr>
        <w:t xml:space="preserve">aan een repressieve politiek. De boeteverhoging (bijv. </w:t>
      </w:r>
      <w:r>
        <w:rPr>
          <w:color w:val="000000" w:themeColor="text1"/>
        </w:rPr>
        <w:t xml:space="preserve">in </w:t>
      </w:r>
      <w:r w:rsidR="00210202">
        <w:rPr>
          <w:color w:val="000000" w:themeColor="text1"/>
        </w:rPr>
        <w:t xml:space="preserve">de </w:t>
      </w:r>
      <w:proofErr w:type="spellStart"/>
      <w:r w:rsidR="00210202">
        <w:rPr>
          <w:color w:val="000000" w:themeColor="text1"/>
        </w:rPr>
        <w:t>Wft</w:t>
      </w:r>
      <w:proofErr w:type="spellEnd"/>
      <w:r w:rsidR="00210202">
        <w:rPr>
          <w:color w:val="000000" w:themeColor="text1"/>
        </w:rPr>
        <w:t xml:space="preserve">, </w:t>
      </w:r>
      <w:r w:rsidR="00D906B0">
        <w:rPr>
          <w:color w:val="000000" w:themeColor="text1"/>
        </w:rPr>
        <w:t xml:space="preserve">de </w:t>
      </w:r>
      <w:r w:rsidR="00210202">
        <w:rPr>
          <w:color w:val="000000" w:themeColor="text1"/>
        </w:rPr>
        <w:t>Mededingingswet</w:t>
      </w:r>
      <w:r w:rsidR="00D906B0">
        <w:rPr>
          <w:color w:val="000000" w:themeColor="text1"/>
        </w:rPr>
        <w:t xml:space="preserve"> en </w:t>
      </w:r>
      <w:r w:rsidR="00210202">
        <w:rPr>
          <w:color w:val="000000" w:themeColor="text1"/>
        </w:rPr>
        <w:t xml:space="preserve">de Fraudewet SZW) wordt </w:t>
      </w:r>
      <w:r>
        <w:rPr>
          <w:color w:val="000000" w:themeColor="text1"/>
        </w:rPr>
        <w:t xml:space="preserve">dan </w:t>
      </w:r>
      <w:r w:rsidR="00210202">
        <w:rPr>
          <w:color w:val="000000" w:themeColor="text1"/>
        </w:rPr>
        <w:t xml:space="preserve">gemotiveerd met de stelling dat boetes </w:t>
      </w:r>
      <w:r>
        <w:rPr>
          <w:color w:val="000000" w:themeColor="text1"/>
        </w:rPr>
        <w:t xml:space="preserve">vooral </w:t>
      </w:r>
      <w:r w:rsidR="00210202">
        <w:rPr>
          <w:color w:val="000000" w:themeColor="text1"/>
        </w:rPr>
        <w:t xml:space="preserve">effectief dienen te zijn (2016, p. 33). </w:t>
      </w:r>
    </w:p>
    <w:p w14:paraId="6C75563A" w14:textId="77777777" w:rsidR="00B63EAD" w:rsidRDefault="00B63EAD" w:rsidP="00B63EAD">
      <w:pPr>
        <w:rPr>
          <w:color w:val="000000" w:themeColor="text1"/>
        </w:rPr>
      </w:pPr>
    </w:p>
    <w:p w14:paraId="6C79CD54" w14:textId="6AFE3EA8" w:rsidR="00B63EAD" w:rsidRPr="006D1559" w:rsidRDefault="006D1559" w:rsidP="006D1559">
      <w:pPr>
        <w:pStyle w:val="ListParagraph"/>
        <w:numPr>
          <w:ilvl w:val="0"/>
          <w:numId w:val="1"/>
        </w:numPr>
        <w:rPr>
          <w:color w:val="000000" w:themeColor="text1"/>
        </w:rPr>
      </w:pPr>
      <w:r>
        <w:rPr>
          <w:color w:val="000000" w:themeColor="text1"/>
        </w:rPr>
        <w:t xml:space="preserve">De </w:t>
      </w:r>
      <w:r w:rsidR="00E8655D">
        <w:rPr>
          <w:color w:val="000000" w:themeColor="text1"/>
        </w:rPr>
        <w:t>aantrekkings</w:t>
      </w:r>
      <w:r w:rsidR="002240AC">
        <w:rPr>
          <w:color w:val="000000" w:themeColor="text1"/>
        </w:rPr>
        <w:t>kracht van</w:t>
      </w:r>
      <w:r w:rsidR="00E8655D">
        <w:rPr>
          <w:color w:val="000000" w:themeColor="text1"/>
        </w:rPr>
        <w:t xml:space="preserve"> de</w:t>
      </w:r>
      <w:r w:rsidR="002240AC">
        <w:rPr>
          <w:color w:val="000000" w:themeColor="text1"/>
        </w:rPr>
        <w:t xml:space="preserve"> </w:t>
      </w:r>
      <w:r w:rsidRPr="006D1559">
        <w:rPr>
          <w:color w:val="000000" w:themeColor="text1"/>
        </w:rPr>
        <w:t>afschrikking</w:t>
      </w:r>
      <w:r w:rsidR="00E8655D">
        <w:rPr>
          <w:color w:val="000000" w:themeColor="text1"/>
        </w:rPr>
        <w:t>sgedachte</w:t>
      </w:r>
    </w:p>
    <w:p w14:paraId="05A0B211" w14:textId="77777777" w:rsidR="00DD0021" w:rsidRDefault="00DD0021" w:rsidP="00DD0021">
      <w:pPr>
        <w:rPr>
          <w:color w:val="000000" w:themeColor="text1"/>
        </w:rPr>
      </w:pPr>
    </w:p>
    <w:p w14:paraId="494F9136" w14:textId="6B58A87B" w:rsidR="002240AC" w:rsidRPr="00D80E9B" w:rsidRDefault="00015BC9" w:rsidP="00DD0021">
      <w:pPr>
        <w:rPr>
          <w:i/>
          <w:color w:val="000000" w:themeColor="text1"/>
        </w:rPr>
      </w:pPr>
      <w:r>
        <w:rPr>
          <w:i/>
          <w:color w:val="000000" w:themeColor="text1"/>
        </w:rPr>
        <w:t xml:space="preserve">Hoe zou </w:t>
      </w:r>
      <w:r w:rsidR="00D80E9B" w:rsidRPr="00D80E9B">
        <w:rPr>
          <w:i/>
          <w:color w:val="000000" w:themeColor="text1"/>
        </w:rPr>
        <w:t>afschrikking</w:t>
      </w:r>
      <w:r>
        <w:rPr>
          <w:i/>
          <w:color w:val="000000" w:themeColor="text1"/>
        </w:rPr>
        <w:t xml:space="preserve"> moeten werken</w:t>
      </w:r>
      <w:r w:rsidR="00D80E9B" w:rsidRPr="00D80E9B">
        <w:rPr>
          <w:i/>
          <w:color w:val="000000" w:themeColor="text1"/>
        </w:rPr>
        <w:t>?</w:t>
      </w:r>
    </w:p>
    <w:p w14:paraId="7DB47804" w14:textId="638A5109" w:rsidR="00C043D1" w:rsidRDefault="001C12F8" w:rsidP="00DD0021">
      <w:pPr>
        <w:rPr>
          <w:color w:val="000000" w:themeColor="text1"/>
        </w:rPr>
      </w:pPr>
      <w:r>
        <w:rPr>
          <w:color w:val="000000" w:themeColor="text1"/>
        </w:rPr>
        <w:t xml:space="preserve">Uit de </w:t>
      </w:r>
      <w:r w:rsidR="00E8655D">
        <w:rPr>
          <w:color w:val="000000" w:themeColor="text1"/>
        </w:rPr>
        <w:t>beleids</w:t>
      </w:r>
      <w:r>
        <w:rPr>
          <w:color w:val="000000" w:themeColor="text1"/>
        </w:rPr>
        <w:t xml:space="preserve">stukken en vraaggesprekken komt </w:t>
      </w:r>
      <w:r w:rsidR="00890F41">
        <w:rPr>
          <w:color w:val="000000" w:themeColor="text1"/>
        </w:rPr>
        <w:t xml:space="preserve">als belangrijkste rechtvaardiging </w:t>
      </w:r>
      <w:r w:rsidR="00BA1F06">
        <w:rPr>
          <w:color w:val="000000" w:themeColor="text1"/>
        </w:rPr>
        <w:t xml:space="preserve">voor de wetswijzigingen </w:t>
      </w:r>
      <w:r w:rsidR="00E8655D">
        <w:rPr>
          <w:color w:val="000000" w:themeColor="text1"/>
        </w:rPr>
        <w:t xml:space="preserve">naar voren </w:t>
      </w:r>
      <w:r w:rsidR="00DE52EF">
        <w:rPr>
          <w:color w:val="000000" w:themeColor="text1"/>
        </w:rPr>
        <w:t xml:space="preserve">de veronderstelling </w:t>
      </w:r>
      <w:r w:rsidR="00401EC4">
        <w:rPr>
          <w:color w:val="000000" w:themeColor="text1"/>
        </w:rPr>
        <w:t>dat hoge boete</w:t>
      </w:r>
      <w:r w:rsidR="003A5CAC">
        <w:rPr>
          <w:color w:val="000000" w:themeColor="text1"/>
        </w:rPr>
        <w:t>s</w:t>
      </w:r>
      <w:r w:rsidR="00401EC4">
        <w:rPr>
          <w:color w:val="000000" w:themeColor="text1"/>
        </w:rPr>
        <w:t xml:space="preserve"> potentiele overtreders </w:t>
      </w:r>
      <w:r w:rsidR="0003752E">
        <w:rPr>
          <w:color w:val="000000" w:themeColor="text1"/>
        </w:rPr>
        <w:t xml:space="preserve">zouden </w:t>
      </w:r>
      <w:r w:rsidR="00D4245E">
        <w:rPr>
          <w:color w:val="000000" w:themeColor="text1"/>
        </w:rPr>
        <w:t>afschrikken</w:t>
      </w:r>
      <w:r>
        <w:rPr>
          <w:color w:val="000000" w:themeColor="text1"/>
        </w:rPr>
        <w:t>: d</w:t>
      </w:r>
      <w:r w:rsidR="00CB7E23">
        <w:rPr>
          <w:color w:val="000000" w:themeColor="text1"/>
        </w:rPr>
        <w:t xml:space="preserve">e afschrikkingsgedachte. </w:t>
      </w:r>
      <w:r>
        <w:rPr>
          <w:color w:val="000000" w:themeColor="text1"/>
        </w:rPr>
        <w:t>Binnen d</w:t>
      </w:r>
      <w:r w:rsidR="000251D5">
        <w:rPr>
          <w:color w:val="000000" w:themeColor="text1"/>
        </w:rPr>
        <w:t>eze gedachtegan</w:t>
      </w:r>
      <w:r w:rsidR="00EE22DE">
        <w:rPr>
          <w:color w:val="000000" w:themeColor="text1"/>
        </w:rPr>
        <w:t xml:space="preserve">g </w:t>
      </w:r>
      <w:r w:rsidR="00656F6D">
        <w:rPr>
          <w:color w:val="000000" w:themeColor="text1"/>
        </w:rPr>
        <w:t xml:space="preserve">wordt </w:t>
      </w:r>
      <w:r w:rsidR="00A16749">
        <w:rPr>
          <w:color w:val="000000" w:themeColor="text1"/>
        </w:rPr>
        <w:t>ervan</w:t>
      </w:r>
      <w:r w:rsidR="00656F6D">
        <w:rPr>
          <w:color w:val="000000" w:themeColor="text1"/>
        </w:rPr>
        <w:t xml:space="preserve"> uitgegaan dat </w:t>
      </w:r>
      <w:r w:rsidR="0087255D">
        <w:rPr>
          <w:color w:val="000000" w:themeColor="text1"/>
        </w:rPr>
        <w:t>personen en ondernemingen</w:t>
      </w:r>
      <w:r w:rsidR="00EE22DE">
        <w:rPr>
          <w:color w:val="000000" w:themeColor="text1"/>
        </w:rPr>
        <w:t xml:space="preserve"> een afweging zouden maken tussen de </w:t>
      </w:r>
      <w:r w:rsidR="00134057">
        <w:rPr>
          <w:color w:val="000000" w:themeColor="text1"/>
        </w:rPr>
        <w:t>‘</w:t>
      </w:r>
      <w:r w:rsidR="00EE22DE">
        <w:rPr>
          <w:color w:val="000000" w:themeColor="text1"/>
        </w:rPr>
        <w:t>kosten en baten</w:t>
      </w:r>
      <w:r w:rsidR="00134057">
        <w:rPr>
          <w:color w:val="000000" w:themeColor="text1"/>
        </w:rPr>
        <w:t>’</w:t>
      </w:r>
      <w:r w:rsidR="00EE22DE">
        <w:rPr>
          <w:color w:val="000000" w:themeColor="text1"/>
        </w:rPr>
        <w:t xml:space="preserve"> die samenhangen met de </w:t>
      </w:r>
      <w:r w:rsidR="003A5CAC">
        <w:rPr>
          <w:color w:val="000000" w:themeColor="text1"/>
        </w:rPr>
        <w:t>(niet-)</w:t>
      </w:r>
      <w:r w:rsidR="00EE22DE">
        <w:rPr>
          <w:color w:val="000000" w:themeColor="text1"/>
        </w:rPr>
        <w:t>naleving van v</w:t>
      </w:r>
      <w:r w:rsidR="000D4F25">
        <w:rPr>
          <w:color w:val="000000" w:themeColor="text1"/>
        </w:rPr>
        <w:t xml:space="preserve">oor hen geldende voorschriften (Van </w:t>
      </w:r>
      <w:proofErr w:type="spellStart"/>
      <w:r w:rsidR="000D4F25">
        <w:rPr>
          <w:color w:val="000000" w:themeColor="text1"/>
        </w:rPr>
        <w:t>Wingerde</w:t>
      </w:r>
      <w:proofErr w:type="spellEnd"/>
      <w:r w:rsidR="000D4F25">
        <w:rPr>
          <w:color w:val="000000" w:themeColor="text1"/>
        </w:rPr>
        <w:t>, 2012</w:t>
      </w:r>
      <w:r w:rsidR="00437E50">
        <w:rPr>
          <w:color w:val="000000" w:themeColor="text1"/>
        </w:rPr>
        <w:t>, p. 22</w:t>
      </w:r>
      <w:r w:rsidR="00333AE7">
        <w:rPr>
          <w:color w:val="000000" w:themeColor="text1"/>
        </w:rPr>
        <w:t>-</w:t>
      </w:r>
      <w:r w:rsidR="00333AE7" w:rsidRPr="00811F1D">
        <w:rPr>
          <w:color w:val="000000" w:themeColor="text1"/>
        </w:rPr>
        <w:t>23</w:t>
      </w:r>
      <w:r w:rsidR="000D4F25" w:rsidRPr="00811F1D">
        <w:rPr>
          <w:color w:val="000000" w:themeColor="text1"/>
        </w:rPr>
        <w:t xml:space="preserve"> a.w.). </w:t>
      </w:r>
      <w:r w:rsidR="00656F6D" w:rsidRPr="00811F1D">
        <w:rPr>
          <w:color w:val="000000" w:themeColor="text1"/>
        </w:rPr>
        <w:t xml:space="preserve">Meer </w:t>
      </w:r>
      <w:r w:rsidR="00656F6D">
        <w:rPr>
          <w:color w:val="000000" w:themeColor="text1"/>
        </w:rPr>
        <w:t>in het bijzonder</w:t>
      </w:r>
      <w:r>
        <w:rPr>
          <w:color w:val="000000" w:themeColor="text1"/>
        </w:rPr>
        <w:t xml:space="preserve">, </w:t>
      </w:r>
      <w:r w:rsidR="00656F6D">
        <w:rPr>
          <w:color w:val="000000" w:themeColor="text1"/>
        </w:rPr>
        <w:t xml:space="preserve">dat </w:t>
      </w:r>
      <w:r w:rsidR="000D4F25">
        <w:rPr>
          <w:color w:val="000000" w:themeColor="text1"/>
        </w:rPr>
        <w:t xml:space="preserve">zij zich zouden laten </w:t>
      </w:r>
      <w:r w:rsidR="00205B15">
        <w:rPr>
          <w:color w:val="000000" w:themeColor="text1"/>
        </w:rPr>
        <w:t xml:space="preserve">weerhouden </w:t>
      </w:r>
      <w:r w:rsidR="000D4F25">
        <w:rPr>
          <w:color w:val="000000" w:themeColor="text1"/>
        </w:rPr>
        <w:t xml:space="preserve">door de hoogte van de boete, waarvan de kosten niet zouden opwegen tegen </w:t>
      </w:r>
      <w:r w:rsidR="000D4F25">
        <w:rPr>
          <w:color w:val="000000" w:themeColor="text1"/>
        </w:rPr>
        <w:lastRenderedPageBreak/>
        <w:t xml:space="preserve">de verwachte baten in het geval van overtreding. </w:t>
      </w:r>
      <w:r w:rsidR="00134057">
        <w:rPr>
          <w:color w:val="000000" w:themeColor="text1"/>
        </w:rPr>
        <w:t>Overigens speelt bij de ‘kosten’ ook de pakkans een rol</w:t>
      </w:r>
      <w:r w:rsidR="00456795">
        <w:rPr>
          <w:color w:val="000000" w:themeColor="text1"/>
        </w:rPr>
        <w:t xml:space="preserve"> evenals de snelheid waarop een sanctie volgt</w:t>
      </w:r>
      <w:r w:rsidR="00134057">
        <w:rPr>
          <w:color w:val="000000" w:themeColor="text1"/>
        </w:rPr>
        <w:t xml:space="preserve">. </w:t>
      </w:r>
      <w:r w:rsidR="00CD7E5C">
        <w:rPr>
          <w:color w:val="000000" w:themeColor="text1"/>
        </w:rPr>
        <w:t>Van deze factoren</w:t>
      </w:r>
      <w:r w:rsidR="00024F34">
        <w:rPr>
          <w:color w:val="000000" w:themeColor="text1"/>
        </w:rPr>
        <w:t xml:space="preserve"> moet </w:t>
      </w:r>
      <w:r w:rsidR="00CD7E5C">
        <w:rPr>
          <w:color w:val="000000" w:themeColor="text1"/>
        </w:rPr>
        <w:t xml:space="preserve">een </w:t>
      </w:r>
      <w:r w:rsidR="00024F34">
        <w:rPr>
          <w:color w:val="000000" w:themeColor="text1"/>
        </w:rPr>
        <w:t xml:space="preserve">preventieve werking </w:t>
      </w:r>
      <w:r w:rsidR="00CD7E5C">
        <w:rPr>
          <w:color w:val="000000" w:themeColor="text1"/>
        </w:rPr>
        <w:t>uitgaan</w:t>
      </w:r>
      <w:r>
        <w:rPr>
          <w:color w:val="000000" w:themeColor="text1"/>
        </w:rPr>
        <w:t>, zowel speciaal als generaal</w:t>
      </w:r>
      <w:r w:rsidR="00CD7E5C">
        <w:rPr>
          <w:color w:val="000000" w:themeColor="text1"/>
        </w:rPr>
        <w:t xml:space="preserve">. </w:t>
      </w:r>
    </w:p>
    <w:p w14:paraId="4C539FCF" w14:textId="77777777" w:rsidR="00E66C92" w:rsidRDefault="00E66C92" w:rsidP="00DD0021">
      <w:pPr>
        <w:rPr>
          <w:color w:val="000000" w:themeColor="text1"/>
        </w:rPr>
      </w:pPr>
    </w:p>
    <w:p w14:paraId="18DA4A22" w14:textId="5CBBA107" w:rsidR="00EE22DE" w:rsidRDefault="00CD7E5C" w:rsidP="00DD0021">
      <w:pPr>
        <w:rPr>
          <w:color w:val="000000" w:themeColor="text1"/>
        </w:rPr>
      </w:pPr>
      <w:r>
        <w:rPr>
          <w:color w:val="000000" w:themeColor="text1"/>
        </w:rPr>
        <w:t>I</w:t>
      </w:r>
      <w:r w:rsidR="00134057">
        <w:rPr>
          <w:color w:val="000000" w:themeColor="text1"/>
        </w:rPr>
        <w:t xml:space="preserve">n </w:t>
      </w:r>
      <w:r w:rsidR="00890F41">
        <w:rPr>
          <w:color w:val="000000" w:themeColor="text1"/>
        </w:rPr>
        <w:t xml:space="preserve">het kader van de afschrikkingsgedachte </w:t>
      </w:r>
      <w:r w:rsidR="00134057">
        <w:rPr>
          <w:color w:val="000000" w:themeColor="text1"/>
        </w:rPr>
        <w:t>wordt de overtreder beschouwd als een rationeel en amoreel handelende actor, die zich informeert en op basi</w:t>
      </w:r>
      <w:r w:rsidR="001C12F8">
        <w:rPr>
          <w:color w:val="000000" w:themeColor="text1"/>
        </w:rPr>
        <w:t xml:space="preserve">s daarvan </w:t>
      </w:r>
      <w:r w:rsidR="00890F41">
        <w:rPr>
          <w:color w:val="000000" w:themeColor="text1"/>
        </w:rPr>
        <w:t xml:space="preserve">een </w:t>
      </w:r>
      <w:r w:rsidR="00134057">
        <w:rPr>
          <w:color w:val="000000" w:themeColor="text1"/>
        </w:rPr>
        <w:t xml:space="preserve">weloverwogen </w:t>
      </w:r>
      <w:r w:rsidR="008E2B65">
        <w:rPr>
          <w:color w:val="000000" w:themeColor="text1"/>
        </w:rPr>
        <w:t>keuze maakt</w:t>
      </w:r>
      <w:r w:rsidR="00184DC6">
        <w:rPr>
          <w:color w:val="000000" w:themeColor="text1"/>
        </w:rPr>
        <w:t xml:space="preserve">. </w:t>
      </w:r>
      <w:r w:rsidR="009864BB">
        <w:rPr>
          <w:color w:val="000000" w:themeColor="text1"/>
        </w:rPr>
        <w:t xml:space="preserve">Hierin is het </w:t>
      </w:r>
      <w:r w:rsidR="00F6694F">
        <w:rPr>
          <w:color w:val="000000" w:themeColor="text1"/>
        </w:rPr>
        <w:t xml:space="preserve">typische </w:t>
      </w:r>
      <w:r w:rsidR="009864BB">
        <w:rPr>
          <w:color w:val="000000" w:themeColor="text1"/>
        </w:rPr>
        <w:t>Verlichtings</w:t>
      </w:r>
      <w:r w:rsidR="003C2B41">
        <w:rPr>
          <w:color w:val="000000" w:themeColor="text1"/>
        </w:rPr>
        <w:t xml:space="preserve">denken over de mens </w:t>
      </w:r>
      <w:r w:rsidR="00035781">
        <w:rPr>
          <w:color w:val="000000" w:themeColor="text1"/>
        </w:rPr>
        <w:t>herkenbaar</w:t>
      </w:r>
      <w:r w:rsidR="00F67AEF">
        <w:rPr>
          <w:color w:val="000000" w:themeColor="text1"/>
        </w:rPr>
        <w:t xml:space="preserve">, </w:t>
      </w:r>
      <w:r w:rsidR="00B2391E">
        <w:rPr>
          <w:color w:val="000000" w:themeColor="text1"/>
        </w:rPr>
        <w:t>de zogenoemde Klassieke</w:t>
      </w:r>
      <w:r w:rsidR="00F67AEF">
        <w:rPr>
          <w:color w:val="000000" w:themeColor="text1"/>
        </w:rPr>
        <w:t xml:space="preserve"> Richting binnen het denken over het strafrecht</w:t>
      </w:r>
      <w:r w:rsidR="00F04F13">
        <w:rPr>
          <w:color w:val="000000" w:themeColor="text1"/>
        </w:rPr>
        <w:t xml:space="preserve"> en criminaliteit </w:t>
      </w:r>
      <w:r w:rsidR="00035781">
        <w:rPr>
          <w:color w:val="000000" w:themeColor="text1"/>
        </w:rPr>
        <w:t>(</w:t>
      </w:r>
      <w:r w:rsidR="007C0D74">
        <w:rPr>
          <w:color w:val="000000" w:themeColor="text1"/>
        </w:rPr>
        <w:t>Huisman, 2001, p. 13</w:t>
      </w:r>
      <w:r w:rsidR="00646E1F">
        <w:rPr>
          <w:color w:val="000000" w:themeColor="text1"/>
        </w:rPr>
        <w:t>7-13</w:t>
      </w:r>
      <w:r w:rsidR="007C0D74">
        <w:rPr>
          <w:color w:val="000000" w:themeColor="text1"/>
        </w:rPr>
        <w:t xml:space="preserve">8; </w:t>
      </w:r>
      <w:r w:rsidR="00035781">
        <w:rPr>
          <w:color w:val="000000" w:themeColor="text1"/>
        </w:rPr>
        <w:t xml:space="preserve">Van </w:t>
      </w:r>
      <w:proofErr w:type="spellStart"/>
      <w:r w:rsidR="00035781">
        <w:rPr>
          <w:color w:val="000000" w:themeColor="text1"/>
        </w:rPr>
        <w:t>Wingerde</w:t>
      </w:r>
      <w:proofErr w:type="spellEnd"/>
      <w:r w:rsidR="00035781">
        <w:rPr>
          <w:color w:val="000000" w:themeColor="text1"/>
        </w:rPr>
        <w:t>, 2012, p. 24-28</w:t>
      </w:r>
      <w:r w:rsidR="00410736">
        <w:rPr>
          <w:color w:val="000000" w:themeColor="text1"/>
        </w:rPr>
        <w:t xml:space="preserve">; </w:t>
      </w:r>
      <w:proofErr w:type="spellStart"/>
      <w:r w:rsidR="00410736">
        <w:rPr>
          <w:color w:val="000000" w:themeColor="text1"/>
        </w:rPr>
        <w:t>Bahreman</w:t>
      </w:r>
      <w:proofErr w:type="spellEnd"/>
      <w:r w:rsidR="00410736">
        <w:rPr>
          <w:color w:val="000000" w:themeColor="text1"/>
        </w:rPr>
        <w:t>, 2015, p. 7</w:t>
      </w:r>
      <w:r w:rsidR="00B32F9E">
        <w:rPr>
          <w:color w:val="000000" w:themeColor="text1"/>
        </w:rPr>
        <w:t xml:space="preserve">). Daarin past </w:t>
      </w:r>
      <w:r w:rsidR="00F04F13">
        <w:rPr>
          <w:color w:val="000000" w:themeColor="text1"/>
        </w:rPr>
        <w:t xml:space="preserve">ook </w:t>
      </w:r>
      <w:r w:rsidR="00035781">
        <w:rPr>
          <w:color w:val="000000" w:themeColor="text1"/>
        </w:rPr>
        <w:t xml:space="preserve">dat een straf in </w:t>
      </w:r>
      <w:r w:rsidR="00517402">
        <w:rPr>
          <w:color w:val="000000" w:themeColor="text1"/>
        </w:rPr>
        <w:t xml:space="preserve">verhouding dient te staan tot </w:t>
      </w:r>
      <w:r w:rsidR="00035781">
        <w:rPr>
          <w:color w:val="000000" w:themeColor="text1"/>
        </w:rPr>
        <w:t xml:space="preserve">de ernst en </w:t>
      </w:r>
      <w:r w:rsidR="00F6694F">
        <w:rPr>
          <w:color w:val="000000" w:themeColor="text1"/>
        </w:rPr>
        <w:t xml:space="preserve">aard </w:t>
      </w:r>
      <w:r w:rsidR="00035781">
        <w:rPr>
          <w:color w:val="000000" w:themeColor="text1"/>
        </w:rPr>
        <w:t>van de overtreding</w:t>
      </w:r>
      <w:r w:rsidR="0025499F">
        <w:rPr>
          <w:color w:val="000000" w:themeColor="text1"/>
        </w:rPr>
        <w:t xml:space="preserve"> en wel </w:t>
      </w:r>
      <w:r w:rsidR="00517402">
        <w:rPr>
          <w:color w:val="000000" w:themeColor="text1"/>
        </w:rPr>
        <w:t>o</w:t>
      </w:r>
      <w:r w:rsidR="00B32F9E">
        <w:rPr>
          <w:color w:val="000000" w:themeColor="text1"/>
        </w:rPr>
        <w:t>p een evenredige wijze zo</w:t>
      </w:r>
      <w:r w:rsidR="005D304C">
        <w:rPr>
          <w:color w:val="000000" w:themeColor="text1"/>
        </w:rPr>
        <w:t>dat herhaling wordt voorkomen</w:t>
      </w:r>
      <w:r w:rsidR="00DE217D">
        <w:rPr>
          <w:color w:val="000000" w:themeColor="text1"/>
        </w:rPr>
        <w:t xml:space="preserve"> (</w:t>
      </w:r>
      <w:r w:rsidR="005D304C">
        <w:rPr>
          <w:color w:val="000000" w:themeColor="text1"/>
        </w:rPr>
        <w:t xml:space="preserve">het proportionaliteitsbeginsel). </w:t>
      </w:r>
      <w:r w:rsidR="00F6694F">
        <w:rPr>
          <w:color w:val="000000" w:themeColor="text1"/>
        </w:rPr>
        <w:t>Een expone</w:t>
      </w:r>
      <w:r w:rsidR="000B54BE">
        <w:rPr>
          <w:color w:val="000000" w:themeColor="text1"/>
        </w:rPr>
        <w:t>nt van dit d</w:t>
      </w:r>
      <w:r w:rsidR="00273F69">
        <w:rPr>
          <w:color w:val="000000" w:themeColor="text1"/>
        </w:rPr>
        <w:t xml:space="preserve">enken was </w:t>
      </w:r>
      <w:r w:rsidR="0025499F">
        <w:rPr>
          <w:color w:val="000000" w:themeColor="text1"/>
        </w:rPr>
        <w:t xml:space="preserve">de Italiaan </w:t>
      </w:r>
      <w:r w:rsidR="00273F69">
        <w:rPr>
          <w:color w:val="000000" w:themeColor="text1"/>
        </w:rPr>
        <w:t>Bec</w:t>
      </w:r>
      <w:r w:rsidR="003C2B41">
        <w:rPr>
          <w:color w:val="000000" w:themeColor="text1"/>
        </w:rPr>
        <w:t>caria</w:t>
      </w:r>
      <w:r w:rsidR="00AE7D10">
        <w:rPr>
          <w:color w:val="000000" w:themeColor="text1"/>
        </w:rPr>
        <w:t xml:space="preserve"> (</w:t>
      </w:r>
      <w:r w:rsidR="00AE7D10" w:rsidRPr="00D7705F">
        <w:rPr>
          <w:color w:val="000000" w:themeColor="text1"/>
        </w:rPr>
        <w:t>Stolwijk</w:t>
      </w:r>
      <w:r w:rsidR="00AE7D10">
        <w:rPr>
          <w:color w:val="000000" w:themeColor="text1"/>
        </w:rPr>
        <w:t>, 2016, p. 49-50</w:t>
      </w:r>
      <w:r w:rsidR="00C043D1">
        <w:rPr>
          <w:color w:val="000000" w:themeColor="text1"/>
        </w:rPr>
        <w:t>)</w:t>
      </w:r>
      <w:r w:rsidR="00AE7D10">
        <w:rPr>
          <w:color w:val="000000" w:themeColor="text1"/>
        </w:rPr>
        <w:t xml:space="preserve">. </w:t>
      </w:r>
      <w:r w:rsidR="00CB7E23">
        <w:rPr>
          <w:color w:val="000000" w:themeColor="text1"/>
        </w:rPr>
        <w:t xml:space="preserve">Daarnaast is </w:t>
      </w:r>
      <w:r w:rsidR="00947508">
        <w:rPr>
          <w:color w:val="000000" w:themeColor="text1"/>
        </w:rPr>
        <w:t xml:space="preserve">hierin </w:t>
      </w:r>
      <w:r w:rsidR="00CB7E23">
        <w:rPr>
          <w:color w:val="000000" w:themeColor="text1"/>
        </w:rPr>
        <w:t xml:space="preserve">een economische benadering van nalevingsgedrag herkenbaar (Van </w:t>
      </w:r>
      <w:proofErr w:type="spellStart"/>
      <w:r w:rsidR="00CB7E23">
        <w:rPr>
          <w:color w:val="000000" w:themeColor="text1"/>
        </w:rPr>
        <w:t>Wingerde</w:t>
      </w:r>
      <w:proofErr w:type="spellEnd"/>
      <w:r w:rsidR="00CB7E23">
        <w:rPr>
          <w:color w:val="000000" w:themeColor="text1"/>
        </w:rPr>
        <w:t xml:space="preserve">, 2012, p. 30-33). </w:t>
      </w:r>
      <w:r w:rsidR="00290747">
        <w:rPr>
          <w:color w:val="000000" w:themeColor="text1"/>
        </w:rPr>
        <w:t>In dit l</w:t>
      </w:r>
      <w:r w:rsidR="00D479A1">
        <w:rPr>
          <w:color w:val="000000" w:themeColor="text1"/>
        </w:rPr>
        <w:t>ic</w:t>
      </w:r>
      <w:r w:rsidR="007119C5">
        <w:rPr>
          <w:color w:val="000000" w:themeColor="text1"/>
        </w:rPr>
        <w:t xml:space="preserve">ht is </w:t>
      </w:r>
      <w:r w:rsidR="00290747">
        <w:rPr>
          <w:color w:val="000000" w:themeColor="text1"/>
        </w:rPr>
        <w:t xml:space="preserve">nalevingsgedrag </w:t>
      </w:r>
      <w:r w:rsidR="007119C5">
        <w:rPr>
          <w:color w:val="000000" w:themeColor="text1"/>
        </w:rPr>
        <w:t xml:space="preserve">een resultante van </w:t>
      </w:r>
      <w:r w:rsidR="00290747">
        <w:rPr>
          <w:color w:val="000000" w:themeColor="text1"/>
        </w:rPr>
        <w:t xml:space="preserve">een </w:t>
      </w:r>
      <w:r w:rsidR="001F4D2B">
        <w:rPr>
          <w:color w:val="000000" w:themeColor="text1"/>
        </w:rPr>
        <w:t>afwegings- en keuze</w:t>
      </w:r>
      <w:r w:rsidR="001C12F8">
        <w:rPr>
          <w:color w:val="000000" w:themeColor="text1"/>
        </w:rPr>
        <w:t xml:space="preserve">proces </w:t>
      </w:r>
      <w:r w:rsidR="00060F72">
        <w:rPr>
          <w:color w:val="000000" w:themeColor="text1"/>
        </w:rPr>
        <w:t xml:space="preserve">van kosten en baten van (niet)naleving door </w:t>
      </w:r>
      <w:r w:rsidR="00290747">
        <w:rPr>
          <w:color w:val="000000" w:themeColor="text1"/>
        </w:rPr>
        <w:t xml:space="preserve">de </w:t>
      </w:r>
      <w:r w:rsidR="00290747" w:rsidRPr="00290747">
        <w:rPr>
          <w:i/>
          <w:color w:val="000000" w:themeColor="text1"/>
        </w:rPr>
        <w:t xml:space="preserve">homo </w:t>
      </w:r>
      <w:proofErr w:type="spellStart"/>
      <w:r w:rsidR="00290747" w:rsidRPr="00290747">
        <w:rPr>
          <w:i/>
          <w:color w:val="000000" w:themeColor="text1"/>
        </w:rPr>
        <w:t>economicus</w:t>
      </w:r>
      <w:proofErr w:type="spellEnd"/>
      <w:r w:rsidR="0022164B">
        <w:rPr>
          <w:color w:val="000000" w:themeColor="text1"/>
        </w:rPr>
        <w:t xml:space="preserve"> die een maximaal nut nastreeft. E</w:t>
      </w:r>
      <w:r w:rsidR="003C2B41">
        <w:rPr>
          <w:color w:val="000000" w:themeColor="text1"/>
        </w:rPr>
        <w:t xml:space="preserve">en exponent daarvan is </w:t>
      </w:r>
      <w:r w:rsidR="001C12F8">
        <w:rPr>
          <w:color w:val="000000" w:themeColor="text1"/>
        </w:rPr>
        <w:t xml:space="preserve">de </w:t>
      </w:r>
      <w:r w:rsidR="0025499F">
        <w:rPr>
          <w:color w:val="000000" w:themeColor="text1"/>
        </w:rPr>
        <w:t xml:space="preserve">Amerikaanse </w:t>
      </w:r>
      <w:r w:rsidR="001C12F8">
        <w:rPr>
          <w:color w:val="000000" w:themeColor="text1"/>
        </w:rPr>
        <w:t xml:space="preserve">econoom </w:t>
      </w:r>
      <w:r w:rsidR="00290747">
        <w:rPr>
          <w:color w:val="000000" w:themeColor="text1"/>
        </w:rPr>
        <w:t>Becker</w:t>
      </w:r>
      <w:r w:rsidR="00D715D4">
        <w:rPr>
          <w:color w:val="000000" w:themeColor="text1"/>
        </w:rPr>
        <w:t xml:space="preserve"> (Van Velthoven &amp; Van </w:t>
      </w:r>
      <w:proofErr w:type="spellStart"/>
      <w:r w:rsidR="00D715D4">
        <w:rPr>
          <w:color w:val="000000" w:themeColor="text1"/>
        </w:rPr>
        <w:t>Wijck</w:t>
      </w:r>
      <w:proofErr w:type="spellEnd"/>
      <w:r w:rsidR="00D715D4">
        <w:rPr>
          <w:color w:val="000000" w:themeColor="text1"/>
        </w:rPr>
        <w:t>, 2016, p, 6-7)</w:t>
      </w:r>
      <w:r w:rsidR="00290747">
        <w:rPr>
          <w:color w:val="000000" w:themeColor="text1"/>
        </w:rPr>
        <w:t>.</w:t>
      </w:r>
    </w:p>
    <w:p w14:paraId="7232B935" w14:textId="77777777" w:rsidR="00656F6D" w:rsidRDefault="00656F6D" w:rsidP="00DD0021">
      <w:pPr>
        <w:rPr>
          <w:color w:val="000000" w:themeColor="text1"/>
        </w:rPr>
      </w:pPr>
    </w:p>
    <w:p w14:paraId="5DCF60CB" w14:textId="0B165005" w:rsidR="0022164B" w:rsidRDefault="0022164B" w:rsidP="00DD0021">
      <w:pPr>
        <w:rPr>
          <w:color w:val="000000" w:themeColor="text1"/>
        </w:rPr>
      </w:pPr>
      <w:r>
        <w:rPr>
          <w:color w:val="000000" w:themeColor="text1"/>
        </w:rPr>
        <w:t xml:space="preserve">Van </w:t>
      </w:r>
      <w:proofErr w:type="spellStart"/>
      <w:r>
        <w:rPr>
          <w:color w:val="000000" w:themeColor="text1"/>
        </w:rPr>
        <w:t>Wingerde</w:t>
      </w:r>
      <w:proofErr w:type="spellEnd"/>
      <w:r>
        <w:rPr>
          <w:color w:val="000000" w:themeColor="text1"/>
        </w:rPr>
        <w:t xml:space="preserve"> wijst </w:t>
      </w:r>
      <w:r w:rsidR="00FF52CE">
        <w:rPr>
          <w:color w:val="000000" w:themeColor="text1"/>
        </w:rPr>
        <w:t xml:space="preserve">in haar studie naar de werking van het afschrikkingsperspectief </w:t>
      </w:r>
      <w:r>
        <w:rPr>
          <w:color w:val="000000" w:themeColor="text1"/>
        </w:rPr>
        <w:t>op de populariteit en aantrekkingskrach</w:t>
      </w:r>
      <w:r w:rsidR="00FF52CE">
        <w:rPr>
          <w:color w:val="000000" w:themeColor="text1"/>
        </w:rPr>
        <w:t xml:space="preserve">t </w:t>
      </w:r>
      <w:r w:rsidR="0056567C">
        <w:rPr>
          <w:color w:val="000000" w:themeColor="text1"/>
        </w:rPr>
        <w:t>er</w:t>
      </w:r>
      <w:r w:rsidR="00FF52CE">
        <w:rPr>
          <w:color w:val="000000" w:themeColor="text1"/>
        </w:rPr>
        <w:t xml:space="preserve">van </w:t>
      </w:r>
      <w:r>
        <w:rPr>
          <w:color w:val="000000" w:themeColor="text1"/>
        </w:rPr>
        <w:t xml:space="preserve">(2012, p. 34). Die is </w:t>
      </w:r>
      <w:r w:rsidR="00B32F9E">
        <w:rPr>
          <w:color w:val="000000" w:themeColor="text1"/>
        </w:rPr>
        <w:t xml:space="preserve">volgens haar </w:t>
      </w:r>
      <w:r>
        <w:rPr>
          <w:color w:val="000000" w:themeColor="text1"/>
        </w:rPr>
        <w:t xml:space="preserve">gelegen in zijn eenvoud en brede toepasbaarheid, zowel ter verklaring van nalevingsgedrag als ter rechtvaardiging van beleid om dat te beïnvloeden. </w:t>
      </w:r>
      <w:r w:rsidR="00E13BE5">
        <w:rPr>
          <w:color w:val="000000" w:themeColor="text1"/>
        </w:rPr>
        <w:t xml:space="preserve">Het sluit </w:t>
      </w:r>
      <w:r w:rsidR="00B778EC">
        <w:rPr>
          <w:color w:val="000000" w:themeColor="text1"/>
        </w:rPr>
        <w:t xml:space="preserve">ook </w:t>
      </w:r>
      <w:r w:rsidR="00E13BE5">
        <w:rPr>
          <w:color w:val="000000" w:themeColor="text1"/>
        </w:rPr>
        <w:t>bijzonder goed aan bij het beeld van de kapitaalkrachtige ondernemingen die, relatief ongevoelig voor de gemiddelde geldboete, calculerend te werk zouden gaan</w:t>
      </w:r>
      <w:r w:rsidR="00C21A6E">
        <w:rPr>
          <w:color w:val="000000" w:themeColor="text1"/>
        </w:rPr>
        <w:t xml:space="preserve"> (</w:t>
      </w:r>
      <w:r w:rsidR="0035456E">
        <w:rPr>
          <w:color w:val="000000" w:themeColor="text1"/>
        </w:rPr>
        <w:t xml:space="preserve">Van de Bunt, 1992, p. </w:t>
      </w:r>
      <w:r w:rsidR="00AF5037">
        <w:rPr>
          <w:color w:val="000000" w:themeColor="text1"/>
        </w:rPr>
        <w:t>16</w:t>
      </w:r>
      <w:r w:rsidR="0035456E">
        <w:rPr>
          <w:color w:val="000000" w:themeColor="text1"/>
        </w:rPr>
        <w:t xml:space="preserve">; </w:t>
      </w:r>
      <w:r w:rsidR="00C21A6E">
        <w:rPr>
          <w:color w:val="000000" w:themeColor="text1"/>
        </w:rPr>
        <w:t>Huisman, 2001, p. 140</w:t>
      </w:r>
      <w:r w:rsidR="00E57372">
        <w:rPr>
          <w:color w:val="000000" w:themeColor="text1"/>
        </w:rPr>
        <w:t>-141</w:t>
      </w:r>
      <w:r w:rsidR="00C21A6E">
        <w:rPr>
          <w:color w:val="000000" w:themeColor="text1"/>
        </w:rPr>
        <w:t>)</w:t>
      </w:r>
      <w:r w:rsidR="00734C41">
        <w:rPr>
          <w:color w:val="000000" w:themeColor="text1"/>
        </w:rPr>
        <w:t xml:space="preserve">. </w:t>
      </w:r>
      <w:r>
        <w:rPr>
          <w:color w:val="000000" w:themeColor="text1"/>
        </w:rPr>
        <w:t xml:space="preserve">Het </w:t>
      </w:r>
      <w:r w:rsidR="00E13BE5">
        <w:rPr>
          <w:color w:val="000000" w:themeColor="text1"/>
        </w:rPr>
        <w:t xml:space="preserve">afschrikkingsperspectief </w:t>
      </w:r>
      <w:r>
        <w:rPr>
          <w:color w:val="000000" w:themeColor="text1"/>
        </w:rPr>
        <w:t xml:space="preserve">ligt </w:t>
      </w:r>
      <w:r w:rsidR="00E13BE5">
        <w:rPr>
          <w:color w:val="000000" w:themeColor="text1"/>
        </w:rPr>
        <w:t xml:space="preserve">op het eerste gezicht </w:t>
      </w:r>
      <w:r>
        <w:rPr>
          <w:color w:val="000000" w:themeColor="text1"/>
        </w:rPr>
        <w:t xml:space="preserve">zozeer voor de hand, dat die nauwelijks meer kritische vragen oproept. Zo ook in dit geval. </w:t>
      </w:r>
    </w:p>
    <w:p w14:paraId="03C054D9" w14:textId="77777777" w:rsidR="00DD0021" w:rsidRPr="00DD0021" w:rsidRDefault="00DD0021" w:rsidP="00DD0021">
      <w:pPr>
        <w:rPr>
          <w:color w:val="000000" w:themeColor="text1"/>
        </w:rPr>
      </w:pPr>
    </w:p>
    <w:p w14:paraId="688F657F" w14:textId="3D11BF55" w:rsidR="00B63EAD" w:rsidRPr="00D80E9B" w:rsidRDefault="00015BC9" w:rsidP="00B63EAD">
      <w:pPr>
        <w:rPr>
          <w:i/>
          <w:color w:val="000000" w:themeColor="text1"/>
        </w:rPr>
      </w:pPr>
      <w:r>
        <w:rPr>
          <w:i/>
          <w:color w:val="000000" w:themeColor="text1"/>
        </w:rPr>
        <w:t>In hoeverre w</w:t>
      </w:r>
      <w:r w:rsidR="00D80E9B" w:rsidRPr="00D80E9B">
        <w:rPr>
          <w:i/>
          <w:color w:val="000000" w:themeColor="text1"/>
        </w:rPr>
        <w:t>erkt afschrikking</w:t>
      </w:r>
      <w:r>
        <w:rPr>
          <w:i/>
          <w:color w:val="000000" w:themeColor="text1"/>
        </w:rPr>
        <w:t xml:space="preserve"> echt</w:t>
      </w:r>
      <w:r w:rsidR="00D80E9B" w:rsidRPr="00D80E9B">
        <w:rPr>
          <w:i/>
          <w:color w:val="000000" w:themeColor="text1"/>
        </w:rPr>
        <w:t>?</w:t>
      </w:r>
    </w:p>
    <w:p w14:paraId="5E590EA2" w14:textId="3E4C019E" w:rsidR="00EA4C7B" w:rsidRDefault="0056567C" w:rsidP="00B63EAD">
      <w:pPr>
        <w:rPr>
          <w:color w:val="000000" w:themeColor="text1"/>
        </w:rPr>
      </w:pPr>
      <w:r>
        <w:rPr>
          <w:color w:val="000000" w:themeColor="text1"/>
        </w:rPr>
        <w:t xml:space="preserve">Tegelijkertijd stelt </w:t>
      </w:r>
      <w:r w:rsidR="00FF52CE">
        <w:rPr>
          <w:color w:val="000000" w:themeColor="text1"/>
        </w:rPr>
        <w:t xml:space="preserve">Van </w:t>
      </w:r>
      <w:proofErr w:type="spellStart"/>
      <w:r w:rsidR="00FF52CE">
        <w:rPr>
          <w:color w:val="000000" w:themeColor="text1"/>
        </w:rPr>
        <w:t>Wingerde</w:t>
      </w:r>
      <w:proofErr w:type="spellEnd"/>
      <w:r w:rsidR="00FF52CE">
        <w:rPr>
          <w:color w:val="000000" w:themeColor="text1"/>
        </w:rPr>
        <w:t xml:space="preserve"> </w:t>
      </w:r>
      <w:r w:rsidR="00B875F1">
        <w:rPr>
          <w:color w:val="000000" w:themeColor="text1"/>
        </w:rPr>
        <w:t xml:space="preserve">echter </w:t>
      </w:r>
      <w:r w:rsidR="00FF52CE">
        <w:rPr>
          <w:color w:val="000000" w:themeColor="text1"/>
        </w:rPr>
        <w:t>de veronderstelde werking van afschrikking ter discussie</w:t>
      </w:r>
      <w:r w:rsidR="00A80D70">
        <w:rPr>
          <w:color w:val="000000" w:themeColor="text1"/>
        </w:rPr>
        <w:t xml:space="preserve">, in navolging van </w:t>
      </w:r>
      <w:proofErr w:type="spellStart"/>
      <w:r w:rsidR="00A80D70">
        <w:rPr>
          <w:color w:val="000000" w:themeColor="text1"/>
        </w:rPr>
        <w:t>Van</w:t>
      </w:r>
      <w:proofErr w:type="spellEnd"/>
      <w:r w:rsidR="00A80D70">
        <w:rPr>
          <w:color w:val="000000" w:themeColor="text1"/>
        </w:rPr>
        <w:t xml:space="preserve"> de Bunt (1992, p. 17 e.v.)</w:t>
      </w:r>
      <w:r w:rsidR="00FF52CE">
        <w:rPr>
          <w:color w:val="000000" w:themeColor="text1"/>
        </w:rPr>
        <w:t xml:space="preserve">. </w:t>
      </w:r>
      <w:r w:rsidR="002453D5">
        <w:rPr>
          <w:color w:val="000000" w:themeColor="text1"/>
        </w:rPr>
        <w:t xml:space="preserve">De relatie tussen de dreiging van sancties en regelnaleving is niet vanzelfsprekend, stelt zij. </w:t>
      </w:r>
      <w:r w:rsidR="0093651D">
        <w:rPr>
          <w:color w:val="000000" w:themeColor="text1"/>
        </w:rPr>
        <w:t>Het is eerder de pakkans die in dit verband een rol speelt</w:t>
      </w:r>
      <w:r w:rsidR="0025499F">
        <w:rPr>
          <w:color w:val="000000" w:themeColor="text1"/>
        </w:rPr>
        <w:t xml:space="preserve"> en </w:t>
      </w:r>
      <w:r w:rsidR="00481CB9">
        <w:rPr>
          <w:color w:val="000000" w:themeColor="text1"/>
        </w:rPr>
        <w:t xml:space="preserve">vooral ook de </w:t>
      </w:r>
      <w:r w:rsidR="004E7F8F">
        <w:rPr>
          <w:color w:val="000000" w:themeColor="text1"/>
        </w:rPr>
        <w:t>zogenoemde sociale en morele kosten</w:t>
      </w:r>
      <w:r w:rsidR="0025499F">
        <w:rPr>
          <w:color w:val="000000" w:themeColor="text1"/>
        </w:rPr>
        <w:t xml:space="preserve"> die samenhangen met overtreding</w:t>
      </w:r>
      <w:r w:rsidR="004E7F8F">
        <w:rPr>
          <w:color w:val="000000" w:themeColor="text1"/>
        </w:rPr>
        <w:t xml:space="preserve">, zoals </w:t>
      </w:r>
      <w:r w:rsidR="00481CB9">
        <w:rPr>
          <w:color w:val="000000" w:themeColor="text1"/>
        </w:rPr>
        <w:t xml:space="preserve">negatieve publiciteit, </w:t>
      </w:r>
      <w:r w:rsidR="004E7F8F">
        <w:rPr>
          <w:color w:val="000000" w:themeColor="text1"/>
        </w:rPr>
        <w:t xml:space="preserve">reputatieverlies of spijt </w:t>
      </w:r>
      <w:r w:rsidR="00122BB9">
        <w:rPr>
          <w:color w:val="000000" w:themeColor="text1"/>
        </w:rPr>
        <w:t xml:space="preserve">en schaamte </w:t>
      </w:r>
      <w:r w:rsidR="0093651D">
        <w:rPr>
          <w:color w:val="000000" w:themeColor="text1"/>
        </w:rPr>
        <w:t>(2012, p. 48</w:t>
      </w:r>
      <w:r w:rsidR="004E7F8F">
        <w:rPr>
          <w:color w:val="000000" w:themeColor="text1"/>
        </w:rPr>
        <w:t>-</w:t>
      </w:r>
      <w:r>
        <w:rPr>
          <w:color w:val="000000" w:themeColor="text1"/>
        </w:rPr>
        <w:t>51</w:t>
      </w:r>
      <w:r w:rsidR="0093651D">
        <w:rPr>
          <w:color w:val="000000" w:themeColor="text1"/>
        </w:rPr>
        <w:t xml:space="preserve">). </w:t>
      </w:r>
      <w:r w:rsidR="00A32188">
        <w:rPr>
          <w:color w:val="000000" w:themeColor="text1"/>
        </w:rPr>
        <w:t xml:space="preserve">Dit lijkt ook te gelden voor ondernemingen. Volgens Van </w:t>
      </w:r>
      <w:proofErr w:type="spellStart"/>
      <w:r w:rsidR="00A32188">
        <w:rPr>
          <w:color w:val="000000" w:themeColor="text1"/>
        </w:rPr>
        <w:t>Wingerde</w:t>
      </w:r>
      <w:proofErr w:type="spellEnd"/>
      <w:r w:rsidR="00A32188">
        <w:rPr>
          <w:color w:val="000000" w:themeColor="text1"/>
        </w:rPr>
        <w:t xml:space="preserve"> moet </w:t>
      </w:r>
      <w:r w:rsidR="00CD7BB2">
        <w:rPr>
          <w:color w:val="000000" w:themeColor="text1"/>
        </w:rPr>
        <w:t xml:space="preserve">in elk geval </w:t>
      </w:r>
      <w:r w:rsidR="00A32188">
        <w:rPr>
          <w:color w:val="000000" w:themeColor="text1"/>
        </w:rPr>
        <w:t xml:space="preserve">het </w:t>
      </w:r>
      <w:r w:rsidR="00CD7BB2">
        <w:rPr>
          <w:color w:val="000000" w:themeColor="text1"/>
        </w:rPr>
        <w:t xml:space="preserve">traditionele </w:t>
      </w:r>
      <w:r w:rsidR="00A32188">
        <w:rPr>
          <w:color w:val="000000" w:themeColor="text1"/>
        </w:rPr>
        <w:t>beeld van de rationele en calculerende overtreder worden genuanceerd</w:t>
      </w:r>
      <w:r w:rsidR="00D954AF">
        <w:rPr>
          <w:color w:val="000000" w:themeColor="text1"/>
        </w:rPr>
        <w:t>. Er is veeleer sprake van een samenstel van factoren die van invloed is op het nalevingsgedrag, dan alleen hoge sancties</w:t>
      </w:r>
      <w:r w:rsidR="004A38EA">
        <w:rPr>
          <w:color w:val="000000" w:themeColor="text1"/>
        </w:rPr>
        <w:t xml:space="preserve"> </w:t>
      </w:r>
      <w:r w:rsidR="00A32188">
        <w:rPr>
          <w:color w:val="000000" w:themeColor="text1"/>
        </w:rPr>
        <w:t xml:space="preserve">(p. 62). </w:t>
      </w:r>
      <w:r w:rsidR="004A38EA">
        <w:rPr>
          <w:color w:val="000000" w:themeColor="text1"/>
        </w:rPr>
        <w:t xml:space="preserve">Zo lijkt ook een rol te spelen de wijze waarop een onderneming </w:t>
      </w:r>
      <w:r w:rsidR="00481CB9">
        <w:rPr>
          <w:color w:val="000000" w:themeColor="text1"/>
        </w:rPr>
        <w:t xml:space="preserve">vorm en inhoud geeft aan </w:t>
      </w:r>
      <w:r w:rsidR="004A38EA">
        <w:rPr>
          <w:color w:val="000000" w:themeColor="text1"/>
        </w:rPr>
        <w:t xml:space="preserve">zijn </w:t>
      </w:r>
      <w:r w:rsidR="00607397">
        <w:rPr>
          <w:color w:val="000000" w:themeColor="text1"/>
        </w:rPr>
        <w:t>sociaal-</w:t>
      </w:r>
      <w:r w:rsidR="004A38EA">
        <w:rPr>
          <w:color w:val="000000" w:themeColor="text1"/>
        </w:rPr>
        <w:t xml:space="preserve">maatschappelijke verantwoordelijkheid </w:t>
      </w:r>
      <w:r w:rsidR="00C53A8A">
        <w:rPr>
          <w:color w:val="000000" w:themeColor="text1"/>
        </w:rPr>
        <w:t>(p. 67</w:t>
      </w:r>
      <w:r w:rsidR="00607397">
        <w:rPr>
          <w:color w:val="000000" w:themeColor="text1"/>
        </w:rPr>
        <w:t xml:space="preserve">). </w:t>
      </w:r>
      <w:r w:rsidR="001E7C61">
        <w:rPr>
          <w:color w:val="000000" w:themeColor="text1"/>
        </w:rPr>
        <w:t>Haar onderzoek naar de werking van afschrikking binnen de Nederlandse afvalbranche bev</w:t>
      </w:r>
      <w:r w:rsidR="00453188">
        <w:rPr>
          <w:color w:val="000000" w:themeColor="text1"/>
        </w:rPr>
        <w:t>estigt deze veronderstellingen (p. 311-</w:t>
      </w:r>
      <w:r w:rsidR="00991389">
        <w:rPr>
          <w:color w:val="000000" w:themeColor="text1"/>
        </w:rPr>
        <w:t>312).</w:t>
      </w:r>
      <w:r w:rsidR="00EA4C7B">
        <w:rPr>
          <w:color w:val="000000" w:themeColor="text1"/>
        </w:rPr>
        <w:t xml:space="preserve"> </w:t>
      </w:r>
    </w:p>
    <w:p w14:paraId="387F900A" w14:textId="77777777" w:rsidR="00FC7835" w:rsidRDefault="00FC7835" w:rsidP="00B63EAD">
      <w:pPr>
        <w:rPr>
          <w:color w:val="000000" w:themeColor="text1"/>
        </w:rPr>
      </w:pPr>
    </w:p>
    <w:p w14:paraId="10C5A6A1" w14:textId="259699EB" w:rsidR="00FC7835" w:rsidRDefault="005F7CF7" w:rsidP="00B63EAD">
      <w:pPr>
        <w:rPr>
          <w:color w:val="000000" w:themeColor="text1"/>
        </w:rPr>
      </w:pPr>
      <w:r>
        <w:rPr>
          <w:color w:val="000000" w:themeColor="text1"/>
        </w:rPr>
        <w:t xml:space="preserve">Het concept </w:t>
      </w:r>
      <w:r w:rsidR="00EE1846">
        <w:rPr>
          <w:color w:val="000000" w:themeColor="text1"/>
        </w:rPr>
        <w:t xml:space="preserve">sociaal-maatschappelijke verantwoordelijkheid van ondernemingen is door Van de Bunt </w:t>
      </w:r>
      <w:r>
        <w:rPr>
          <w:color w:val="000000" w:themeColor="text1"/>
        </w:rPr>
        <w:t xml:space="preserve">aangevoerd als </w:t>
      </w:r>
      <w:r w:rsidR="001C2CA9">
        <w:rPr>
          <w:color w:val="000000" w:themeColor="text1"/>
        </w:rPr>
        <w:t xml:space="preserve">belangrijke </w:t>
      </w:r>
      <w:r>
        <w:rPr>
          <w:color w:val="000000" w:themeColor="text1"/>
        </w:rPr>
        <w:t>verklarende facto</w:t>
      </w:r>
      <w:r w:rsidR="00E54E31">
        <w:rPr>
          <w:color w:val="000000" w:themeColor="text1"/>
        </w:rPr>
        <w:t xml:space="preserve">r voor organisatiecriminaliteit. Hij noemt het sociale responsiviteit </w:t>
      </w:r>
      <w:r>
        <w:rPr>
          <w:color w:val="000000" w:themeColor="text1"/>
        </w:rPr>
        <w:t>(1992, p. 19 en 23). Volgens hem schoot het concept van de rationeel en amoreel handelende o</w:t>
      </w:r>
      <w:r w:rsidR="001C2CA9">
        <w:rPr>
          <w:color w:val="000000" w:themeColor="text1"/>
        </w:rPr>
        <w:t>nderneming</w:t>
      </w:r>
      <w:r>
        <w:rPr>
          <w:color w:val="000000" w:themeColor="text1"/>
        </w:rPr>
        <w:t xml:space="preserve"> </w:t>
      </w:r>
      <w:r w:rsidR="00E54E31">
        <w:rPr>
          <w:color w:val="000000" w:themeColor="text1"/>
        </w:rPr>
        <w:t xml:space="preserve">namelijk </w:t>
      </w:r>
      <w:r w:rsidR="001C2CA9">
        <w:rPr>
          <w:color w:val="000000" w:themeColor="text1"/>
        </w:rPr>
        <w:t>te</w:t>
      </w:r>
      <w:r>
        <w:rPr>
          <w:color w:val="000000" w:themeColor="text1"/>
        </w:rPr>
        <w:t>kort als verklarend kad</w:t>
      </w:r>
      <w:r w:rsidR="001C2CA9">
        <w:rPr>
          <w:color w:val="000000" w:themeColor="text1"/>
        </w:rPr>
        <w:t xml:space="preserve">er, </w:t>
      </w:r>
      <w:r w:rsidR="004E7354">
        <w:rPr>
          <w:color w:val="000000" w:themeColor="text1"/>
        </w:rPr>
        <w:t xml:space="preserve">omdat </w:t>
      </w:r>
      <w:r w:rsidR="004E7354">
        <w:rPr>
          <w:color w:val="000000" w:themeColor="text1"/>
        </w:rPr>
        <w:lastRenderedPageBreak/>
        <w:t xml:space="preserve">organisaties </w:t>
      </w:r>
      <w:r w:rsidR="001C2CA9">
        <w:rPr>
          <w:color w:val="000000" w:themeColor="text1"/>
        </w:rPr>
        <w:t>in de praktijk slechts beperkt rationeel en amoreel zouden handelen.</w:t>
      </w:r>
      <w:r w:rsidR="001C2CA9">
        <w:rPr>
          <w:rStyle w:val="FootnoteReference"/>
          <w:color w:val="000000" w:themeColor="text1"/>
        </w:rPr>
        <w:footnoteReference w:id="20"/>
      </w:r>
      <w:r w:rsidR="001C2CA9">
        <w:rPr>
          <w:color w:val="000000" w:themeColor="text1"/>
        </w:rPr>
        <w:t xml:space="preserve"> </w:t>
      </w:r>
      <w:r w:rsidR="004E7354">
        <w:rPr>
          <w:color w:val="000000" w:themeColor="text1"/>
        </w:rPr>
        <w:t>Sociale responsiviteit betreft kort gezegd het omgevingsbewustzijn van onde</w:t>
      </w:r>
      <w:r w:rsidR="00CF6286">
        <w:rPr>
          <w:color w:val="000000" w:themeColor="text1"/>
        </w:rPr>
        <w:t>rnemingen en het vermogen met die omgeving</w:t>
      </w:r>
      <w:r w:rsidR="004E7354">
        <w:rPr>
          <w:color w:val="000000" w:themeColor="text1"/>
        </w:rPr>
        <w:t xml:space="preserve"> rekening te houden in al het handelen. Hoe lager de responsiviteit, hoe groter de kans op normoverschrijding</w:t>
      </w:r>
      <w:r w:rsidR="00BB056F">
        <w:rPr>
          <w:color w:val="000000" w:themeColor="text1"/>
        </w:rPr>
        <w:t xml:space="preserve">, </w:t>
      </w:r>
      <w:r w:rsidR="00500957">
        <w:rPr>
          <w:color w:val="000000" w:themeColor="text1"/>
        </w:rPr>
        <w:t xml:space="preserve">zo </w:t>
      </w:r>
      <w:r w:rsidR="00BB056F">
        <w:rPr>
          <w:color w:val="000000" w:themeColor="text1"/>
        </w:rPr>
        <w:t>vat ik van de Bunt samen</w:t>
      </w:r>
      <w:r w:rsidR="004E7354">
        <w:rPr>
          <w:color w:val="000000" w:themeColor="text1"/>
        </w:rPr>
        <w:t xml:space="preserve"> (p. 21). </w:t>
      </w:r>
      <w:r w:rsidR="004F5EB0">
        <w:rPr>
          <w:color w:val="000000" w:themeColor="text1"/>
        </w:rPr>
        <w:t xml:space="preserve">Zijn verdienste is </w:t>
      </w:r>
      <w:r w:rsidR="00BB056F">
        <w:rPr>
          <w:color w:val="000000" w:themeColor="text1"/>
        </w:rPr>
        <w:t xml:space="preserve">dat hij juist op dit </w:t>
      </w:r>
      <w:r w:rsidR="004E7354">
        <w:rPr>
          <w:color w:val="000000" w:themeColor="text1"/>
        </w:rPr>
        <w:t xml:space="preserve">aangrijpingspunt </w:t>
      </w:r>
      <w:r w:rsidR="00BB056F">
        <w:rPr>
          <w:color w:val="000000" w:themeColor="text1"/>
        </w:rPr>
        <w:t xml:space="preserve">wees </w:t>
      </w:r>
      <w:r w:rsidR="004E7354">
        <w:rPr>
          <w:color w:val="000000" w:themeColor="text1"/>
        </w:rPr>
        <w:t>om overtredingen te voorkom</w:t>
      </w:r>
      <w:r w:rsidR="004F5EB0">
        <w:rPr>
          <w:color w:val="000000" w:themeColor="text1"/>
        </w:rPr>
        <w:t xml:space="preserve">en, in plaats van </w:t>
      </w:r>
      <w:r w:rsidR="004E7354">
        <w:rPr>
          <w:color w:val="000000" w:themeColor="text1"/>
        </w:rPr>
        <w:t>strenger straffen (p. 2</w:t>
      </w:r>
      <w:r w:rsidR="00581FB8">
        <w:rPr>
          <w:color w:val="000000" w:themeColor="text1"/>
        </w:rPr>
        <w:t>3-2</w:t>
      </w:r>
      <w:r w:rsidR="004F5EB0">
        <w:rPr>
          <w:color w:val="000000" w:themeColor="text1"/>
        </w:rPr>
        <w:t xml:space="preserve">6). </w:t>
      </w:r>
    </w:p>
    <w:p w14:paraId="4171E148" w14:textId="77777777" w:rsidR="00EA4C7B" w:rsidRDefault="00EA4C7B" w:rsidP="00B63EAD">
      <w:pPr>
        <w:rPr>
          <w:color w:val="000000" w:themeColor="text1"/>
        </w:rPr>
      </w:pPr>
    </w:p>
    <w:p w14:paraId="1A025CF5" w14:textId="1EB5D23F" w:rsidR="007B32E6" w:rsidRDefault="00D03B96" w:rsidP="007B32E6">
      <w:pPr>
        <w:rPr>
          <w:i/>
          <w:color w:val="FF0000"/>
        </w:rPr>
      </w:pPr>
      <w:r>
        <w:rPr>
          <w:color w:val="000000" w:themeColor="text1"/>
        </w:rPr>
        <w:t xml:space="preserve">Ook Huisman relativeert het beeld van de onderneming als </w:t>
      </w:r>
      <w:r w:rsidR="008524E8">
        <w:rPr>
          <w:color w:val="000000" w:themeColor="text1"/>
        </w:rPr>
        <w:t>r</w:t>
      </w:r>
      <w:r w:rsidR="004F5EB0">
        <w:rPr>
          <w:color w:val="000000" w:themeColor="text1"/>
        </w:rPr>
        <w:t xml:space="preserve">ationele en amorele calculator en werkte dit verder uit. </w:t>
      </w:r>
      <w:r w:rsidR="00996E31">
        <w:rPr>
          <w:color w:val="000000" w:themeColor="text1"/>
        </w:rPr>
        <w:t xml:space="preserve">Ondernemingen kunnen bij wijze van spreken ook </w:t>
      </w:r>
      <w:r w:rsidR="008524E8">
        <w:rPr>
          <w:color w:val="000000" w:themeColor="text1"/>
        </w:rPr>
        <w:t>‘</w:t>
      </w:r>
      <w:r w:rsidR="00996E31">
        <w:rPr>
          <w:color w:val="000000" w:themeColor="text1"/>
        </w:rPr>
        <w:t>incompetent</w:t>
      </w:r>
      <w:r w:rsidR="008524E8">
        <w:rPr>
          <w:color w:val="000000" w:themeColor="text1"/>
        </w:rPr>
        <w:t>’</w:t>
      </w:r>
      <w:r w:rsidR="00996E31">
        <w:rPr>
          <w:color w:val="000000" w:themeColor="text1"/>
        </w:rPr>
        <w:t xml:space="preserve"> zi</w:t>
      </w:r>
      <w:r w:rsidR="008524E8">
        <w:rPr>
          <w:color w:val="000000" w:themeColor="text1"/>
        </w:rPr>
        <w:t xml:space="preserve">jn </w:t>
      </w:r>
      <w:r w:rsidR="008504FD">
        <w:rPr>
          <w:color w:val="000000" w:themeColor="text1"/>
        </w:rPr>
        <w:t xml:space="preserve">als gevolg van organisatorische tekortkomingen </w:t>
      </w:r>
      <w:r w:rsidR="00A41BD1">
        <w:rPr>
          <w:color w:val="000000" w:themeColor="text1"/>
        </w:rPr>
        <w:t>(ee</w:t>
      </w:r>
      <w:r w:rsidR="0025499F">
        <w:rPr>
          <w:color w:val="000000" w:themeColor="text1"/>
        </w:rPr>
        <w:t xml:space="preserve">n gebrekkige professionaliteit), </w:t>
      </w:r>
      <w:r w:rsidR="00EA4C7B">
        <w:rPr>
          <w:color w:val="000000" w:themeColor="text1"/>
        </w:rPr>
        <w:t xml:space="preserve">waardoor geen </w:t>
      </w:r>
      <w:r w:rsidR="0025499F">
        <w:rPr>
          <w:color w:val="000000" w:themeColor="text1"/>
        </w:rPr>
        <w:t xml:space="preserve">optimale </w:t>
      </w:r>
      <w:r w:rsidR="006B2692">
        <w:rPr>
          <w:color w:val="000000" w:themeColor="text1"/>
        </w:rPr>
        <w:t>kosten-baten afweging plaatsvindt</w:t>
      </w:r>
      <w:r w:rsidR="008504FD">
        <w:rPr>
          <w:color w:val="000000" w:themeColor="text1"/>
        </w:rPr>
        <w:t xml:space="preserve">. Verder </w:t>
      </w:r>
      <w:r w:rsidR="00BD3997">
        <w:rPr>
          <w:color w:val="000000" w:themeColor="text1"/>
        </w:rPr>
        <w:t>spelen binn</w:t>
      </w:r>
      <w:r w:rsidR="0027712D">
        <w:rPr>
          <w:color w:val="000000" w:themeColor="text1"/>
        </w:rPr>
        <w:t xml:space="preserve">en een onderneming </w:t>
      </w:r>
      <w:r w:rsidR="00BD3997">
        <w:rPr>
          <w:color w:val="000000" w:themeColor="text1"/>
        </w:rPr>
        <w:t xml:space="preserve">ook morele overwegingen </w:t>
      </w:r>
      <w:r w:rsidR="0025499F">
        <w:rPr>
          <w:color w:val="000000" w:themeColor="text1"/>
        </w:rPr>
        <w:t xml:space="preserve">een rol </w:t>
      </w:r>
      <w:r w:rsidR="00BD3997">
        <w:rPr>
          <w:color w:val="000000" w:themeColor="text1"/>
        </w:rPr>
        <w:t>bij d</w:t>
      </w:r>
      <w:r w:rsidR="0027712D">
        <w:rPr>
          <w:color w:val="000000" w:themeColor="text1"/>
        </w:rPr>
        <w:t>e besluitvorming over naleving (</w:t>
      </w:r>
      <w:r w:rsidR="00D7705F">
        <w:rPr>
          <w:color w:val="000000" w:themeColor="text1"/>
        </w:rPr>
        <w:t>de</w:t>
      </w:r>
      <w:r w:rsidR="00D12AC5">
        <w:rPr>
          <w:color w:val="000000" w:themeColor="text1"/>
        </w:rPr>
        <w:t xml:space="preserve">nk aan het verschijnsel </w:t>
      </w:r>
      <w:r w:rsidR="0027712D">
        <w:rPr>
          <w:color w:val="000000" w:themeColor="text1"/>
        </w:rPr>
        <w:t xml:space="preserve">maatschappelijk verantwoord ondernemen). Deze bedenkingen fungeren </w:t>
      </w:r>
      <w:r w:rsidR="0025499F">
        <w:rPr>
          <w:color w:val="000000" w:themeColor="text1"/>
        </w:rPr>
        <w:t xml:space="preserve">dan </w:t>
      </w:r>
      <w:r w:rsidR="0027712D">
        <w:rPr>
          <w:color w:val="000000" w:themeColor="text1"/>
        </w:rPr>
        <w:t xml:space="preserve">als </w:t>
      </w:r>
      <w:r w:rsidR="00B6024B">
        <w:rPr>
          <w:color w:val="000000" w:themeColor="text1"/>
        </w:rPr>
        <w:t xml:space="preserve">een soort </w:t>
      </w:r>
      <w:r w:rsidR="0025499F">
        <w:rPr>
          <w:color w:val="000000" w:themeColor="text1"/>
        </w:rPr>
        <w:t>morele barrières</w:t>
      </w:r>
      <w:r w:rsidR="008524E8">
        <w:rPr>
          <w:color w:val="000000" w:themeColor="text1"/>
        </w:rPr>
        <w:t xml:space="preserve"> (2001, p. 154-155</w:t>
      </w:r>
      <w:r w:rsidR="00EA4C7B">
        <w:rPr>
          <w:color w:val="000000" w:themeColor="text1"/>
        </w:rPr>
        <w:t xml:space="preserve"> en 167</w:t>
      </w:r>
      <w:r w:rsidR="008524E8">
        <w:rPr>
          <w:color w:val="000000" w:themeColor="text1"/>
        </w:rPr>
        <w:t>)</w:t>
      </w:r>
      <w:r w:rsidR="001C2CA9">
        <w:rPr>
          <w:color w:val="000000" w:themeColor="text1"/>
        </w:rPr>
        <w:t>.</w:t>
      </w:r>
      <w:r w:rsidR="004E7354">
        <w:rPr>
          <w:color w:val="000000" w:themeColor="text1"/>
        </w:rPr>
        <w:t xml:space="preserve"> </w:t>
      </w:r>
    </w:p>
    <w:p w14:paraId="7DB3DB0A" w14:textId="77777777" w:rsidR="00996E31" w:rsidRDefault="00996E31" w:rsidP="00B63EAD">
      <w:pPr>
        <w:rPr>
          <w:color w:val="000000" w:themeColor="text1"/>
        </w:rPr>
      </w:pPr>
    </w:p>
    <w:p w14:paraId="4BFDE80D" w14:textId="55B944DD" w:rsidR="008D14E5" w:rsidRDefault="008D14E5" w:rsidP="00B63EAD">
      <w:pPr>
        <w:rPr>
          <w:color w:val="000000" w:themeColor="text1"/>
        </w:rPr>
      </w:pPr>
      <w:r>
        <w:rPr>
          <w:color w:val="000000" w:themeColor="text1"/>
        </w:rPr>
        <w:t xml:space="preserve">Dat we niet te hoge verwachtingen moeten hebben van </w:t>
      </w:r>
      <w:r w:rsidR="00E13BE5">
        <w:rPr>
          <w:color w:val="000000" w:themeColor="text1"/>
        </w:rPr>
        <w:t xml:space="preserve">het effect van </w:t>
      </w:r>
      <w:r>
        <w:rPr>
          <w:color w:val="000000" w:themeColor="text1"/>
        </w:rPr>
        <w:t xml:space="preserve">wetgeving en sancties </w:t>
      </w:r>
      <w:r w:rsidR="000A298F">
        <w:rPr>
          <w:color w:val="000000" w:themeColor="text1"/>
        </w:rPr>
        <w:t xml:space="preserve">op </w:t>
      </w:r>
      <w:r w:rsidR="00E13BE5">
        <w:rPr>
          <w:color w:val="000000" w:themeColor="text1"/>
        </w:rPr>
        <w:t xml:space="preserve">het nalevingsgedrag van </w:t>
      </w:r>
      <w:r>
        <w:rPr>
          <w:color w:val="000000" w:themeColor="text1"/>
        </w:rPr>
        <w:t xml:space="preserve">ondernemingen </w:t>
      </w:r>
      <w:r w:rsidR="000A298F">
        <w:rPr>
          <w:color w:val="000000" w:themeColor="text1"/>
        </w:rPr>
        <w:t>en hun bestuurders</w:t>
      </w:r>
      <w:r w:rsidR="000C6976">
        <w:rPr>
          <w:color w:val="000000" w:themeColor="text1"/>
        </w:rPr>
        <w:t>,</w:t>
      </w:r>
      <w:r w:rsidR="000A298F">
        <w:rPr>
          <w:color w:val="000000" w:themeColor="text1"/>
        </w:rPr>
        <w:t xml:space="preserve"> </w:t>
      </w:r>
      <w:r>
        <w:rPr>
          <w:color w:val="000000" w:themeColor="text1"/>
        </w:rPr>
        <w:t>wordt nog eens o</w:t>
      </w:r>
      <w:r w:rsidR="002961A0">
        <w:rPr>
          <w:color w:val="000000" w:themeColor="text1"/>
        </w:rPr>
        <w:t xml:space="preserve">nderstreept door een recent rapport van </w:t>
      </w:r>
      <w:r>
        <w:rPr>
          <w:color w:val="000000" w:themeColor="text1"/>
        </w:rPr>
        <w:t xml:space="preserve">de </w:t>
      </w:r>
      <w:r w:rsidRPr="006B2692">
        <w:rPr>
          <w:i/>
          <w:color w:val="000000" w:themeColor="text1"/>
        </w:rPr>
        <w:t>Camp</w:t>
      </w:r>
      <w:r w:rsidR="002961A0" w:rsidRPr="006B2692">
        <w:rPr>
          <w:i/>
          <w:color w:val="000000" w:themeColor="text1"/>
        </w:rPr>
        <w:t>b</w:t>
      </w:r>
      <w:r w:rsidRPr="006B2692">
        <w:rPr>
          <w:i/>
          <w:color w:val="000000" w:themeColor="text1"/>
        </w:rPr>
        <w:t>ell Corporation</w:t>
      </w:r>
      <w:r w:rsidR="000A298F">
        <w:rPr>
          <w:color w:val="000000" w:themeColor="text1"/>
        </w:rPr>
        <w:t xml:space="preserve">, </w:t>
      </w:r>
      <w:r w:rsidR="000C6976">
        <w:rPr>
          <w:color w:val="000000" w:themeColor="text1"/>
        </w:rPr>
        <w:t xml:space="preserve">dat </w:t>
      </w:r>
      <w:r>
        <w:rPr>
          <w:color w:val="000000" w:themeColor="text1"/>
        </w:rPr>
        <w:t>zich heeft toe</w:t>
      </w:r>
      <w:r w:rsidR="002961A0">
        <w:rPr>
          <w:color w:val="000000" w:themeColor="text1"/>
        </w:rPr>
        <w:t xml:space="preserve">gelegd op het beoordelen van de effectiviteit van </w:t>
      </w:r>
      <w:r w:rsidR="00F473F5">
        <w:rPr>
          <w:color w:val="000000" w:themeColor="text1"/>
        </w:rPr>
        <w:t>s</w:t>
      </w:r>
      <w:r w:rsidR="000A298F">
        <w:rPr>
          <w:color w:val="000000" w:themeColor="text1"/>
        </w:rPr>
        <w:t xml:space="preserve">ociale interventies </w:t>
      </w:r>
      <w:r w:rsidR="002961A0">
        <w:rPr>
          <w:color w:val="000000" w:themeColor="text1"/>
        </w:rPr>
        <w:t xml:space="preserve">door </w:t>
      </w:r>
      <w:r w:rsidR="00C67F2B">
        <w:rPr>
          <w:color w:val="000000" w:themeColor="text1"/>
        </w:rPr>
        <w:t>middel van systematische review</w:t>
      </w:r>
      <w:r w:rsidR="002961A0">
        <w:rPr>
          <w:color w:val="000000" w:themeColor="text1"/>
        </w:rPr>
        <w:t xml:space="preserve">studies. </w:t>
      </w:r>
      <w:r w:rsidR="00120B74">
        <w:rPr>
          <w:color w:val="000000" w:themeColor="text1"/>
        </w:rPr>
        <w:t>Uit een</w:t>
      </w:r>
      <w:r w:rsidR="008164D2">
        <w:rPr>
          <w:color w:val="000000" w:themeColor="text1"/>
        </w:rPr>
        <w:t xml:space="preserve"> meta-evaluatie</w:t>
      </w:r>
      <w:r w:rsidR="00120B74">
        <w:rPr>
          <w:color w:val="000000" w:themeColor="text1"/>
        </w:rPr>
        <w:t xml:space="preserve"> van wettelijke maatregelen om organisatiecriminaliteit tegen te gaan, waaronder </w:t>
      </w:r>
      <w:r w:rsidR="000A298F">
        <w:rPr>
          <w:color w:val="000000" w:themeColor="text1"/>
        </w:rPr>
        <w:t>bestraffende sancties,</w:t>
      </w:r>
      <w:r w:rsidR="00053C17">
        <w:rPr>
          <w:color w:val="000000" w:themeColor="text1"/>
        </w:rPr>
        <w:t xml:space="preserve"> blijkt dat </w:t>
      </w:r>
      <w:r w:rsidR="000A298F">
        <w:rPr>
          <w:color w:val="000000" w:themeColor="text1"/>
        </w:rPr>
        <w:t xml:space="preserve">die </w:t>
      </w:r>
      <w:r w:rsidR="008164D2">
        <w:rPr>
          <w:color w:val="000000" w:themeColor="text1"/>
        </w:rPr>
        <w:t xml:space="preserve">geen noemenswaardig </w:t>
      </w:r>
      <w:r w:rsidR="000A298F">
        <w:rPr>
          <w:color w:val="000000" w:themeColor="text1"/>
        </w:rPr>
        <w:t>afschrikwekkend</w:t>
      </w:r>
      <w:r w:rsidR="006C48C8">
        <w:rPr>
          <w:color w:val="000000" w:themeColor="text1"/>
        </w:rPr>
        <w:t xml:space="preserve"> effect hebben op ondernemingen en hun</w:t>
      </w:r>
      <w:r w:rsidR="005427B1">
        <w:rPr>
          <w:color w:val="000000" w:themeColor="text1"/>
        </w:rPr>
        <w:t xml:space="preserve"> bestuurders</w:t>
      </w:r>
      <w:r w:rsidR="00F473F5">
        <w:rPr>
          <w:color w:val="000000" w:themeColor="text1"/>
        </w:rPr>
        <w:t xml:space="preserve"> (Simpson, e.a., </w:t>
      </w:r>
      <w:r w:rsidR="006C48C8">
        <w:rPr>
          <w:color w:val="000000" w:themeColor="text1"/>
        </w:rPr>
        <w:t xml:space="preserve">2014, p. 29 en </w:t>
      </w:r>
      <w:r w:rsidR="000A298F">
        <w:rPr>
          <w:color w:val="000000" w:themeColor="text1"/>
        </w:rPr>
        <w:t>38).</w:t>
      </w:r>
      <w:r w:rsidR="000A298F">
        <w:rPr>
          <w:rStyle w:val="FootnoteReference"/>
          <w:color w:val="000000" w:themeColor="text1"/>
        </w:rPr>
        <w:footnoteReference w:id="21"/>
      </w:r>
      <w:r w:rsidR="00642618">
        <w:rPr>
          <w:color w:val="000000" w:themeColor="text1"/>
        </w:rPr>
        <w:t xml:space="preserve"> </w:t>
      </w:r>
    </w:p>
    <w:p w14:paraId="4F89BF4F" w14:textId="77777777" w:rsidR="00FF52CE" w:rsidRDefault="00FF52CE" w:rsidP="00B63EAD">
      <w:pPr>
        <w:rPr>
          <w:color w:val="000000" w:themeColor="text1"/>
        </w:rPr>
      </w:pPr>
    </w:p>
    <w:p w14:paraId="07648FE2" w14:textId="5F755A33" w:rsidR="002961A0" w:rsidRPr="00584D2D" w:rsidRDefault="00584D2D" w:rsidP="00B63EAD">
      <w:pPr>
        <w:rPr>
          <w:i/>
          <w:color w:val="000000" w:themeColor="text1"/>
        </w:rPr>
      </w:pPr>
      <w:r w:rsidRPr="00584D2D">
        <w:rPr>
          <w:i/>
          <w:color w:val="000000" w:themeColor="text1"/>
        </w:rPr>
        <w:t>De symboliek van afschrikking</w:t>
      </w:r>
    </w:p>
    <w:p w14:paraId="6C30E8A6" w14:textId="776A039F" w:rsidR="00865F01" w:rsidRDefault="00865F01" w:rsidP="00B63EAD">
      <w:pPr>
        <w:rPr>
          <w:color w:val="000000" w:themeColor="text1"/>
        </w:rPr>
      </w:pPr>
      <w:r>
        <w:rPr>
          <w:color w:val="000000" w:themeColor="text1"/>
        </w:rPr>
        <w:t>Kort samengevat blijkt de afschrikkingsgedachte ook voor de Brusselse</w:t>
      </w:r>
      <w:r w:rsidR="007310A4">
        <w:rPr>
          <w:color w:val="000000" w:themeColor="text1"/>
        </w:rPr>
        <w:t>-</w:t>
      </w:r>
      <w:r>
        <w:rPr>
          <w:color w:val="000000" w:themeColor="text1"/>
        </w:rPr>
        <w:t xml:space="preserve"> en Nederlandse ambtenaren e</w:t>
      </w:r>
      <w:r w:rsidR="005870BB">
        <w:rPr>
          <w:color w:val="000000" w:themeColor="text1"/>
        </w:rPr>
        <w:t>ve</w:t>
      </w:r>
      <w:r>
        <w:rPr>
          <w:color w:val="000000" w:themeColor="text1"/>
        </w:rPr>
        <w:t>n</w:t>
      </w:r>
      <w:r w:rsidR="005870BB">
        <w:rPr>
          <w:color w:val="000000" w:themeColor="text1"/>
        </w:rPr>
        <w:t>als</w:t>
      </w:r>
      <w:r>
        <w:rPr>
          <w:color w:val="000000" w:themeColor="text1"/>
        </w:rPr>
        <w:t xml:space="preserve"> voor </w:t>
      </w:r>
      <w:r w:rsidR="005870BB">
        <w:rPr>
          <w:color w:val="000000" w:themeColor="text1"/>
        </w:rPr>
        <w:t xml:space="preserve">Tweede </w:t>
      </w:r>
      <w:r>
        <w:rPr>
          <w:color w:val="000000" w:themeColor="text1"/>
        </w:rPr>
        <w:t xml:space="preserve">Kamerleden </w:t>
      </w:r>
      <w:r w:rsidR="00661E0B">
        <w:rPr>
          <w:color w:val="000000" w:themeColor="text1"/>
        </w:rPr>
        <w:t xml:space="preserve">aantrekkelijk </w:t>
      </w:r>
      <w:r w:rsidR="007A218A">
        <w:rPr>
          <w:color w:val="000000" w:themeColor="text1"/>
        </w:rPr>
        <w:t xml:space="preserve">bij het </w:t>
      </w:r>
      <w:r w:rsidR="005870BB">
        <w:rPr>
          <w:color w:val="000000" w:themeColor="text1"/>
        </w:rPr>
        <w:t xml:space="preserve">formuleren van de kaders voor </w:t>
      </w:r>
      <w:r w:rsidR="007A218A">
        <w:rPr>
          <w:color w:val="000000" w:themeColor="text1"/>
        </w:rPr>
        <w:t>het financieel toezicht</w:t>
      </w:r>
      <w:r>
        <w:rPr>
          <w:color w:val="000000" w:themeColor="text1"/>
        </w:rPr>
        <w:t>.</w:t>
      </w:r>
      <w:r w:rsidR="005870BB">
        <w:rPr>
          <w:color w:val="000000" w:themeColor="text1"/>
        </w:rPr>
        <w:t xml:space="preserve"> Een</w:t>
      </w:r>
      <w:r w:rsidR="00426FD9">
        <w:rPr>
          <w:color w:val="000000" w:themeColor="text1"/>
        </w:rPr>
        <w:t xml:space="preserve"> ‘economische benadering’ van regelgeving, toezicht en </w:t>
      </w:r>
      <w:r w:rsidR="005870BB">
        <w:rPr>
          <w:color w:val="000000" w:themeColor="text1"/>
        </w:rPr>
        <w:t>handhaving voert de boventoon</w:t>
      </w:r>
      <w:r w:rsidR="007A218A">
        <w:rPr>
          <w:color w:val="000000" w:themeColor="text1"/>
        </w:rPr>
        <w:t>, boven een meer gedragswetenschappelijke</w:t>
      </w:r>
      <w:r w:rsidR="005870BB">
        <w:rPr>
          <w:color w:val="000000" w:themeColor="text1"/>
        </w:rPr>
        <w:t xml:space="preserve"> of juridische.</w:t>
      </w:r>
      <w:r w:rsidR="00CA61AB">
        <w:rPr>
          <w:color w:val="000000" w:themeColor="text1"/>
        </w:rPr>
        <w:t xml:space="preserve"> Tegelijkertijd is de onderbouwing ervan minimaal. </w:t>
      </w:r>
      <w:r w:rsidR="003B6022">
        <w:rPr>
          <w:color w:val="000000" w:themeColor="text1"/>
        </w:rPr>
        <w:t>Deze benadering, die</w:t>
      </w:r>
      <w:r w:rsidR="00B13282">
        <w:rPr>
          <w:color w:val="000000" w:themeColor="text1"/>
        </w:rPr>
        <w:t xml:space="preserve"> is terug te voeren op technocratische commissies in EU-verband, werkt </w:t>
      </w:r>
      <w:r w:rsidR="003B6022">
        <w:rPr>
          <w:color w:val="000000" w:themeColor="text1"/>
        </w:rPr>
        <w:t xml:space="preserve">sterk </w:t>
      </w:r>
      <w:r w:rsidR="007A218A">
        <w:rPr>
          <w:color w:val="000000" w:themeColor="text1"/>
        </w:rPr>
        <w:t>door in het Nederlandse beleid</w:t>
      </w:r>
      <w:r w:rsidR="004D7CC9">
        <w:rPr>
          <w:color w:val="000000" w:themeColor="text1"/>
        </w:rPr>
        <w:t xml:space="preserve"> (Mein, 2015</w:t>
      </w:r>
      <w:r w:rsidR="00BA6C09">
        <w:rPr>
          <w:color w:val="000000" w:themeColor="text1"/>
        </w:rPr>
        <w:t>, p. 260</w:t>
      </w:r>
      <w:r w:rsidR="004D7CC9">
        <w:rPr>
          <w:color w:val="000000" w:themeColor="text1"/>
        </w:rPr>
        <w:t>)</w:t>
      </w:r>
      <w:r w:rsidR="007A218A">
        <w:rPr>
          <w:color w:val="000000" w:themeColor="text1"/>
        </w:rPr>
        <w:t xml:space="preserve">. </w:t>
      </w:r>
      <w:r w:rsidR="00B13282">
        <w:rPr>
          <w:color w:val="000000" w:themeColor="text1"/>
        </w:rPr>
        <w:t>Zeker, de afsch</w:t>
      </w:r>
      <w:r w:rsidR="00BE463B">
        <w:rPr>
          <w:color w:val="000000" w:themeColor="text1"/>
        </w:rPr>
        <w:t xml:space="preserve">rikkingsgedachte heeft een zekere </w:t>
      </w:r>
      <w:r w:rsidR="00B13282">
        <w:rPr>
          <w:color w:val="000000" w:themeColor="text1"/>
        </w:rPr>
        <w:t xml:space="preserve">plausibiliteit, in het bijzonder ten opzichte van grote en kapitaalkrachtige financiële ondernemingen. </w:t>
      </w:r>
      <w:r w:rsidR="00CA61AB">
        <w:rPr>
          <w:color w:val="000000" w:themeColor="text1"/>
        </w:rPr>
        <w:t>Niettemin vind ik het opmerkelijk</w:t>
      </w:r>
      <w:r w:rsidR="00B13282">
        <w:rPr>
          <w:color w:val="000000" w:themeColor="text1"/>
        </w:rPr>
        <w:t xml:space="preserve"> dat onderzoek waaruit het tegendeel naar voren komt, door ambtenaren en Kamerleden lijkt te worden genegeerd</w:t>
      </w:r>
      <w:r w:rsidR="007310A4">
        <w:rPr>
          <w:color w:val="000000" w:themeColor="text1"/>
        </w:rPr>
        <w:t xml:space="preserve">. Al met al wordt er weinig tegenkracht aan geboden. </w:t>
      </w:r>
      <w:r w:rsidR="005B1836">
        <w:rPr>
          <w:color w:val="000000" w:themeColor="text1"/>
        </w:rPr>
        <w:t xml:space="preserve">In mijn ogen </w:t>
      </w:r>
      <w:r w:rsidR="00CA61AB">
        <w:rPr>
          <w:color w:val="000000" w:themeColor="text1"/>
        </w:rPr>
        <w:t xml:space="preserve">heeft de verhoging van het boetemaximum zo </w:t>
      </w:r>
      <w:r w:rsidR="005B1836">
        <w:rPr>
          <w:color w:val="000000" w:themeColor="text1"/>
        </w:rPr>
        <w:t xml:space="preserve">vooral </w:t>
      </w:r>
      <w:r w:rsidR="00CA61AB">
        <w:rPr>
          <w:color w:val="000000" w:themeColor="text1"/>
        </w:rPr>
        <w:t xml:space="preserve">een symbolisch karakter. </w:t>
      </w:r>
      <w:r w:rsidR="00390654">
        <w:rPr>
          <w:color w:val="000000" w:themeColor="text1"/>
        </w:rPr>
        <w:t xml:space="preserve">Veeleer </w:t>
      </w:r>
      <w:r w:rsidR="000D2508">
        <w:rPr>
          <w:color w:val="000000" w:themeColor="text1"/>
        </w:rPr>
        <w:t xml:space="preserve">ingegeven door de politieke wens een krachtig signaal te geven, dan gebaseerd op een </w:t>
      </w:r>
      <w:r w:rsidR="00DE7790">
        <w:rPr>
          <w:color w:val="000000" w:themeColor="text1"/>
        </w:rPr>
        <w:t>beredeneerde keuze voor een effectieve interventie.</w:t>
      </w:r>
    </w:p>
    <w:p w14:paraId="37F07704" w14:textId="77777777" w:rsidR="002961A0" w:rsidRDefault="002961A0" w:rsidP="00B63EAD">
      <w:pPr>
        <w:rPr>
          <w:color w:val="000000" w:themeColor="text1"/>
        </w:rPr>
      </w:pPr>
    </w:p>
    <w:p w14:paraId="16CDC08F" w14:textId="27AF8E7F" w:rsidR="00C25098" w:rsidRDefault="00CA61AB" w:rsidP="00B63EAD">
      <w:pPr>
        <w:rPr>
          <w:color w:val="000000" w:themeColor="text1"/>
        </w:rPr>
      </w:pPr>
      <w:r>
        <w:rPr>
          <w:color w:val="000000" w:themeColor="text1"/>
        </w:rPr>
        <w:t xml:space="preserve">Ik vind het </w:t>
      </w:r>
      <w:r w:rsidR="00A07996">
        <w:rPr>
          <w:color w:val="000000" w:themeColor="text1"/>
        </w:rPr>
        <w:t xml:space="preserve">in </w:t>
      </w:r>
      <w:r>
        <w:rPr>
          <w:color w:val="000000" w:themeColor="text1"/>
        </w:rPr>
        <w:t xml:space="preserve">dit verband ook opmerkelijk dat </w:t>
      </w:r>
      <w:r w:rsidR="006B2692">
        <w:rPr>
          <w:color w:val="000000" w:themeColor="text1"/>
        </w:rPr>
        <w:t xml:space="preserve">de </w:t>
      </w:r>
      <w:r>
        <w:rPr>
          <w:color w:val="000000" w:themeColor="text1"/>
        </w:rPr>
        <w:t xml:space="preserve">Nederlandse ambtenaren </w:t>
      </w:r>
      <w:r w:rsidR="00DA1001">
        <w:rPr>
          <w:color w:val="000000" w:themeColor="text1"/>
        </w:rPr>
        <w:t xml:space="preserve">(ook in het kader van eerdergenoemde evaluatie) </w:t>
      </w:r>
      <w:r>
        <w:rPr>
          <w:color w:val="000000" w:themeColor="text1"/>
        </w:rPr>
        <w:t xml:space="preserve">en </w:t>
      </w:r>
      <w:r w:rsidR="006B2692">
        <w:rPr>
          <w:color w:val="000000" w:themeColor="text1"/>
        </w:rPr>
        <w:t xml:space="preserve">de betreffende </w:t>
      </w:r>
      <w:r>
        <w:rPr>
          <w:color w:val="000000" w:themeColor="text1"/>
        </w:rPr>
        <w:t>Tweede Kamerleden</w:t>
      </w:r>
      <w:r w:rsidR="00614EA3">
        <w:rPr>
          <w:color w:val="000000" w:themeColor="text1"/>
        </w:rPr>
        <w:t xml:space="preserve"> voorbij lijken te gaan aan </w:t>
      </w:r>
      <w:r>
        <w:rPr>
          <w:color w:val="000000" w:themeColor="text1"/>
        </w:rPr>
        <w:t xml:space="preserve">kritische publicaties in de </w:t>
      </w:r>
      <w:r w:rsidR="00614EA3">
        <w:rPr>
          <w:color w:val="000000" w:themeColor="text1"/>
        </w:rPr>
        <w:t xml:space="preserve">juridische </w:t>
      </w:r>
      <w:r>
        <w:rPr>
          <w:color w:val="000000" w:themeColor="text1"/>
        </w:rPr>
        <w:t xml:space="preserve">vakliteratuur </w:t>
      </w:r>
      <w:r w:rsidR="00DA1001">
        <w:rPr>
          <w:color w:val="000000" w:themeColor="text1"/>
        </w:rPr>
        <w:t xml:space="preserve">over rechtsbescherming tegen de bestuurlijke boete </w:t>
      </w:r>
      <w:r>
        <w:rPr>
          <w:color w:val="000000" w:themeColor="text1"/>
        </w:rPr>
        <w:t xml:space="preserve">evenals een kritisch advies </w:t>
      </w:r>
      <w:r w:rsidR="006D2141">
        <w:rPr>
          <w:color w:val="000000" w:themeColor="text1"/>
        </w:rPr>
        <w:t xml:space="preserve">daarover </w:t>
      </w:r>
      <w:r>
        <w:rPr>
          <w:color w:val="000000" w:themeColor="text1"/>
        </w:rPr>
        <w:t xml:space="preserve">van de Raad van State. </w:t>
      </w:r>
      <w:r w:rsidR="00614EA3">
        <w:rPr>
          <w:color w:val="000000" w:themeColor="text1"/>
        </w:rPr>
        <w:t xml:space="preserve">Zo stellen </w:t>
      </w:r>
      <w:proofErr w:type="spellStart"/>
      <w:r w:rsidR="003D062A">
        <w:rPr>
          <w:color w:val="000000" w:themeColor="text1"/>
        </w:rPr>
        <w:lastRenderedPageBreak/>
        <w:t>Barkhuysen</w:t>
      </w:r>
      <w:proofErr w:type="spellEnd"/>
      <w:r w:rsidR="003D062A">
        <w:rPr>
          <w:color w:val="000000" w:themeColor="text1"/>
        </w:rPr>
        <w:t xml:space="preserve"> </w:t>
      </w:r>
      <w:r w:rsidR="006B2692">
        <w:rPr>
          <w:color w:val="000000" w:themeColor="text1"/>
        </w:rPr>
        <w:t xml:space="preserve">e.a. in een studie naar </w:t>
      </w:r>
      <w:r w:rsidR="003D062A">
        <w:rPr>
          <w:color w:val="000000" w:themeColor="text1"/>
        </w:rPr>
        <w:t xml:space="preserve">rechtsbescherming bij </w:t>
      </w:r>
      <w:proofErr w:type="spellStart"/>
      <w:r w:rsidR="003D062A">
        <w:rPr>
          <w:color w:val="000000" w:themeColor="text1"/>
        </w:rPr>
        <w:t>grondrechtenbeperkend</w:t>
      </w:r>
      <w:proofErr w:type="spellEnd"/>
      <w:r w:rsidR="003D062A">
        <w:rPr>
          <w:color w:val="000000" w:themeColor="text1"/>
        </w:rPr>
        <w:t xml:space="preserve"> overheidsingrijpen dat d</w:t>
      </w:r>
      <w:r w:rsidR="00DB5740">
        <w:rPr>
          <w:color w:val="000000" w:themeColor="text1"/>
        </w:rPr>
        <w:t xml:space="preserve">e </w:t>
      </w:r>
      <w:r w:rsidR="003D062A">
        <w:rPr>
          <w:color w:val="000000" w:themeColor="text1"/>
        </w:rPr>
        <w:t xml:space="preserve">bestuursrechtelijke </w:t>
      </w:r>
      <w:r w:rsidR="00FC6D38">
        <w:rPr>
          <w:color w:val="000000" w:themeColor="text1"/>
        </w:rPr>
        <w:t xml:space="preserve">rechtsbescherming </w:t>
      </w:r>
      <w:r w:rsidR="003D062A">
        <w:rPr>
          <w:color w:val="000000" w:themeColor="text1"/>
        </w:rPr>
        <w:t>het</w:t>
      </w:r>
      <w:r w:rsidR="006D2141">
        <w:rPr>
          <w:color w:val="000000" w:themeColor="text1"/>
        </w:rPr>
        <w:t xml:space="preserve"> risico loopt tekort te schieten, in het licht van steeds ing</w:t>
      </w:r>
      <w:r w:rsidR="00BD015F">
        <w:rPr>
          <w:color w:val="000000" w:themeColor="text1"/>
        </w:rPr>
        <w:t xml:space="preserve">rijpender overheidsbevoegdheden. Dit impliceert </w:t>
      </w:r>
      <w:r w:rsidR="00DA1001">
        <w:rPr>
          <w:color w:val="000000" w:themeColor="text1"/>
        </w:rPr>
        <w:t xml:space="preserve">volgens hen </w:t>
      </w:r>
      <w:r w:rsidR="00BD015F">
        <w:rPr>
          <w:color w:val="000000" w:themeColor="text1"/>
        </w:rPr>
        <w:t>dat hoge eisen moeten worden gesteld aan het rechtstatelijk karakter van wetge</w:t>
      </w:r>
      <w:r w:rsidR="00B843C2">
        <w:rPr>
          <w:color w:val="000000" w:themeColor="text1"/>
        </w:rPr>
        <w:t>ving en het optreden</w:t>
      </w:r>
      <w:r w:rsidR="00BD015F">
        <w:rPr>
          <w:color w:val="000000" w:themeColor="text1"/>
        </w:rPr>
        <w:t xml:space="preserve"> van het ‘straffend bestuur’ (2014, p. 182-183).</w:t>
      </w:r>
      <w:r w:rsidR="00B843C2">
        <w:rPr>
          <w:color w:val="000000" w:themeColor="text1"/>
        </w:rPr>
        <w:t xml:space="preserve"> Met andere woorden, wetgever en bestuur mogen met de vormgeving respectievelijk toepassing van de bestuurlijke boete de proportionaliteit niet uit het oog verliezen. </w:t>
      </w:r>
      <w:r w:rsidR="00E26F53">
        <w:rPr>
          <w:color w:val="000000" w:themeColor="text1"/>
        </w:rPr>
        <w:t>De afdeling advisering van d</w:t>
      </w:r>
      <w:r w:rsidR="003C7E58">
        <w:rPr>
          <w:color w:val="000000" w:themeColor="text1"/>
        </w:rPr>
        <w:t>e Raad van State stelt in een ongevraagd advies aan de Regering</w:t>
      </w:r>
      <w:r w:rsidR="007B32E6">
        <w:rPr>
          <w:color w:val="000000" w:themeColor="text1"/>
        </w:rPr>
        <w:t xml:space="preserve"> </w:t>
      </w:r>
      <w:r w:rsidR="00E26F53">
        <w:rPr>
          <w:color w:val="000000" w:themeColor="text1"/>
        </w:rPr>
        <w:t xml:space="preserve">dat de bestuurlijke boete zich </w:t>
      </w:r>
      <w:r w:rsidR="00090F77">
        <w:rPr>
          <w:color w:val="000000" w:themeColor="text1"/>
        </w:rPr>
        <w:t xml:space="preserve">in de praktijk </w:t>
      </w:r>
      <w:r w:rsidR="00E26F53">
        <w:rPr>
          <w:color w:val="000000" w:themeColor="text1"/>
        </w:rPr>
        <w:t>heeft ontwikkeld tot een zwaar handhavingsinstrument voor ernstige overtredingen, terwijl de rechtsbescherming daarmee geen gelijke tred heeft gehouden</w:t>
      </w:r>
      <w:r w:rsidR="003C7E58">
        <w:rPr>
          <w:color w:val="000000" w:themeColor="text1"/>
        </w:rPr>
        <w:t xml:space="preserve">. </w:t>
      </w:r>
      <w:r w:rsidR="00630397">
        <w:rPr>
          <w:color w:val="000000" w:themeColor="text1"/>
        </w:rPr>
        <w:t>De Afdeling adviseert vervolgens om het systeem van rechtsbescherming in het bestuursrecht en het strafrecht te herzien, waarbij het bestuursrecht en het strafrecht be</w:t>
      </w:r>
      <w:r w:rsidR="003C7E58">
        <w:rPr>
          <w:color w:val="000000" w:themeColor="text1"/>
        </w:rPr>
        <w:t>ter op elkaar worden afgestemd (2015, p. 4-8).</w:t>
      </w:r>
      <w:r w:rsidR="007B32E6">
        <w:rPr>
          <w:rStyle w:val="FootnoteReference"/>
          <w:color w:val="000000" w:themeColor="text1"/>
        </w:rPr>
        <w:footnoteReference w:id="22"/>
      </w:r>
      <w:r w:rsidR="00C67F2B">
        <w:rPr>
          <w:color w:val="000000" w:themeColor="text1"/>
        </w:rPr>
        <w:t xml:space="preserve"> </w:t>
      </w:r>
      <w:r w:rsidR="00C25098">
        <w:rPr>
          <w:color w:val="000000" w:themeColor="text1"/>
        </w:rPr>
        <w:t>In de kern stelt de Raad van State hier de torenhoge boetes in onder meer het financieel-econom</w:t>
      </w:r>
      <w:r w:rsidR="00585FA2">
        <w:rPr>
          <w:color w:val="000000" w:themeColor="text1"/>
        </w:rPr>
        <w:t>is</w:t>
      </w:r>
      <w:r w:rsidR="0008019F">
        <w:rPr>
          <w:color w:val="000000" w:themeColor="text1"/>
        </w:rPr>
        <w:t>ch best</w:t>
      </w:r>
      <w:r w:rsidR="00E16095">
        <w:rPr>
          <w:color w:val="000000" w:themeColor="text1"/>
        </w:rPr>
        <w:t>uursrecht aan de kaak en r</w:t>
      </w:r>
      <w:r w:rsidR="0008019F">
        <w:rPr>
          <w:color w:val="000000" w:themeColor="text1"/>
        </w:rPr>
        <w:t xml:space="preserve">oept </w:t>
      </w:r>
      <w:r w:rsidR="00D906B0">
        <w:rPr>
          <w:color w:val="000000" w:themeColor="text1"/>
        </w:rPr>
        <w:t>hij</w:t>
      </w:r>
      <w:r w:rsidR="00E16095">
        <w:rPr>
          <w:color w:val="000000" w:themeColor="text1"/>
        </w:rPr>
        <w:t xml:space="preserve"> </w:t>
      </w:r>
      <w:r w:rsidR="00585FA2">
        <w:rPr>
          <w:color w:val="000000" w:themeColor="text1"/>
        </w:rPr>
        <w:t xml:space="preserve">op tot bezinning </w:t>
      </w:r>
      <w:r w:rsidR="009E2B60">
        <w:rPr>
          <w:color w:val="000000" w:themeColor="text1"/>
        </w:rPr>
        <w:t>e</w:t>
      </w:r>
      <w:r w:rsidR="00E16095">
        <w:rPr>
          <w:color w:val="000000" w:themeColor="text1"/>
        </w:rPr>
        <w:t>ve</w:t>
      </w:r>
      <w:r w:rsidR="00585FA2">
        <w:rPr>
          <w:color w:val="000000" w:themeColor="text1"/>
        </w:rPr>
        <w:t>n</w:t>
      </w:r>
      <w:r w:rsidR="00E16095">
        <w:rPr>
          <w:color w:val="000000" w:themeColor="text1"/>
        </w:rPr>
        <w:t>als</w:t>
      </w:r>
      <w:r w:rsidR="00585FA2">
        <w:rPr>
          <w:color w:val="000000" w:themeColor="text1"/>
        </w:rPr>
        <w:t xml:space="preserve"> regie</w:t>
      </w:r>
      <w:r w:rsidR="009E2B60">
        <w:rPr>
          <w:color w:val="000000" w:themeColor="text1"/>
        </w:rPr>
        <w:t xml:space="preserve"> vanuit het ministerie van Veiligheid en Justitie</w:t>
      </w:r>
      <w:r w:rsidR="0008019F">
        <w:rPr>
          <w:color w:val="000000" w:themeColor="text1"/>
        </w:rPr>
        <w:t xml:space="preserve"> (</w:t>
      </w:r>
      <w:proofErr w:type="spellStart"/>
      <w:r w:rsidR="0008019F">
        <w:rPr>
          <w:color w:val="000000" w:themeColor="text1"/>
        </w:rPr>
        <w:t>Br</w:t>
      </w:r>
      <w:r w:rsidR="0008019F">
        <w:rPr>
          <w:rFonts w:ascii="Calibri" w:hAnsi="Calibri"/>
          <w:color w:val="000000" w:themeColor="text1"/>
        </w:rPr>
        <w:t>ö</w:t>
      </w:r>
      <w:r w:rsidR="0008019F">
        <w:rPr>
          <w:color w:val="000000" w:themeColor="text1"/>
        </w:rPr>
        <w:t>ring</w:t>
      </w:r>
      <w:proofErr w:type="spellEnd"/>
      <w:r w:rsidR="0008019F">
        <w:rPr>
          <w:color w:val="000000" w:themeColor="text1"/>
        </w:rPr>
        <w:t xml:space="preserve">, 2016, p. 24 en </w:t>
      </w:r>
      <w:r w:rsidR="00E16095">
        <w:rPr>
          <w:color w:val="000000" w:themeColor="text1"/>
        </w:rPr>
        <w:t>32-33)</w:t>
      </w:r>
      <w:r w:rsidR="009E2B60">
        <w:rPr>
          <w:color w:val="000000" w:themeColor="text1"/>
        </w:rPr>
        <w:t xml:space="preserve">. </w:t>
      </w:r>
    </w:p>
    <w:p w14:paraId="1BECDBDA" w14:textId="77777777" w:rsidR="00EC658F" w:rsidRPr="00181555" w:rsidRDefault="00EC658F" w:rsidP="00B63EAD">
      <w:pPr>
        <w:rPr>
          <w:i/>
          <w:color w:val="FF0000"/>
        </w:rPr>
      </w:pPr>
    </w:p>
    <w:p w14:paraId="47DE782E" w14:textId="68BAFDA1" w:rsidR="00B63EAD" w:rsidRDefault="007935F0" w:rsidP="007935F0">
      <w:pPr>
        <w:pStyle w:val="ListParagraph"/>
        <w:numPr>
          <w:ilvl w:val="0"/>
          <w:numId w:val="1"/>
        </w:numPr>
        <w:rPr>
          <w:color w:val="000000" w:themeColor="text1"/>
        </w:rPr>
      </w:pPr>
      <w:r w:rsidRPr="00EC658F">
        <w:rPr>
          <w:color w:val="000000" w:themeColor="text1"/>
        </w:rPr>
        <w:t>De boetepraktijk</w:t>
      </w:r>
      <w:r w:rsidR="00EC658F" w:rsidRPr="00EC658F">
        <w:rPr>
          <w:color w:val="000000" w:themeColor="text1"/>
        </w:rPr>
        <w:t xml:space="preserve"> in het kader van het financieel toezicht</w:t>
      </w:r>
    </w:p>
    <w:p w14:paraId="1EC4FB27" w14:textId="77777777" w:rsidR="00EC658F" w:rsidRDefault="00EC658F" w:rsidP="00EC658F">
      <w:pPr>
        <w:rPr>
          <w:color w:val="000000" w:themeColor="text1"/>
        </w:rPr>
      </w:pPr>
    </w:p>
    <w:p w14:paraId="292E1D26" w14:textId="1AA4080B" w:rsidR="00C774A2" w:rsidRDefault="0090605B" w:rsidP="00EC658F">
      <w:pPr>
        <w:rPr>
          <w:color w:val="000000" w:themeColor="text1"/>
        </w:rPr>
      </w:pPr>
      <w:r>
        <w:rPr>
          <w:color w:val="000000" w:themeColor="text1"/>
        </w:rPr>
        <w:t xml:space="preserve">Als laatste </w:t>
      </w:r>
      <w:r w:rsidR="00EC658F">
        <w:rPr>
          <w:color w:val="000000" w:themeColor="text1"/>
        </w:rPr>
        <w:t>sta ik</w:t>
      </w:r>
      <w:r w:rsidR="00990924">
        <w:rPr>
          <w:color w:val="000000" w:themeColor="text1"/>
        </w:rPr>
        <w:t xml:space="preserve">, bij wijze van </w:t>
      </w:r>
      <w:proofErr w:type="spellStart"/>
      <w:r w:rsidR="00990924" w:rsidRPr="00990924">
        <w:rPr>
          <w:i/>
          <w:color w:val="000000" w:themeColor="text1"/>
        </w:rPr>
        <w:t>reality</w:t>
      </w:r>
      <w:proofErr w:type="spellEnd"/>
      <w:r w:rsidR="00990924" w:rsidRPr="00990924">
        <w:rPr>
          <w:i/>
          <w:color w:val="000000" w:themeColor="text1"/>
        </w:rPr>
        <w:t xml:space="preserve"> check</w:t>
      </w:r>
      <w:r w:rsidR="00990924">
        <w:rPr>
          <w:color w:val="000000" w:themeColor="text1"/>
        </w:rPr>
        <w:t>,</w:t>
      </w:r>
      <w:r w:rsidR="00EC658F">
        <w:rPr>
          <w:color w:val="000000" w:themeColor="text1"/>
        </w:rPr>
        <w:t xml:space="preserve"> kort stil bij de </w:t>
      </w:r>
      <w:r w:rsidR="008B009D">
        <w:rPr>
          <w:color w:val="000000" w:themeColor="text1"/>
        </w:rPr>
        <w:t xml:space="preserve">recente </w:t>
      </w:r>
      <w:r w:rsidR="00EC658F">
        <w:rPr>
          <w:color w:val="000000" w:themeColor="text1"/>
        </w:rPr>
        <w:t xml:space="preserve">boetepraktijk van de AFM en DNB. In hoeverre kan daarin </w:t>
      </w:r>
      <w:r w:rsidR="00A60297">
        <w:rPr>
          <w:color w:val="000000" w:themeColor="text1"/>
        </w:rPr>
        <w:t xml:space="preserve">nog </w:t>
      </w:r>
      <w:r w:rsidR="00EC658F">
        <w:rPr>
          <w:color w:val="000000" w:themeColor="text1"/>
        </w:rPr>
        <w:t>een rechtvaardiging worden gevonden voor de recente verhoging</w:t>
      </w:r>
      <w:r w:rsidR="0063283A">
        <w:rPr>
          <w:color w:val="000000" w:themeColor="text1"/>
        </w:rPr>
        <w:t xml:space="preserve"> van het boeteplafond</w:t>
      </w:r>
      <w:r w:rsidR="00EC658F">
        <w:rPr>
          <w:color w:val="000000" w:themeColor="text1"/>
        </w:rPr>
        <w:t xml:space="preserve">? </w:t>
      </w:r>
    </w:p>
    <w:p w14:paraId="27A7B9D5" w14:textId="77777777" w:rsidR="008B009D" w:rsidRDefault="008B009D" w:rsidP="00EC658F">
      <w:pPr>
        <w:rPr>
          <w:color w:val="000000" w:themeColor="text1"/>
        </w:rPr>
      </w:pPr>
    </w:p>
    <w:p w14:paraId="190AB3FD" w14:textId="77A9AD13" w:rsidR="008B009D" w:rsidRPr="00BF0968" w:rsidRDefault="00BF0968" w:rsidP="00EC658F">
      <w:pPr>
        <w:rPr>
          <w:i/>
          <w:color w:val="000000" w:themeColor="text1"/>
        </w:rPr>
      </w:pPr>
      <w:r w:rsidRPr="00BF0968">
        <w:rPr>
          <w:i/>
          <w:color w:val="000000" w:themeColor="text1"/>
        </w:rPr>
        <w:t>Nut en noodzaak?</w:t>
      </w:r>
    </w:p>
    <w:p w14:paraId="6920F3F9" w14:textId="5A35811D" w:rsidR="00C774A2" w:rsidRDefault="00990924" w:rsidP="00EC658F">
      <w:pPr>
        <w:rPr>
          <w:color w:val="000000" w:themeColor="text1"/>
        </w:rPr>
      </w:pPr>
      <w:r>
        <w:rPr>
          <w:color w:val="000000" w:themeColor="text1"/>
        </w:rPr>
        <w:t>Vanuit de praktijk werd enigszins terughoudend gereageerd op de verhoging van de maximumboete. Zo wij</w:t>
      </w:r>
      <w:r w:rsidR="00FE3F3B">
        <w:rPr>
          <w:color w:val="000000" w:themeColor="text1"/>
        </w:rPr>
        <w:t>zen Van Es en Kraaijeveld</w:t>
      </w:r>
      <w:r>
        <w:rPr>
          <w:color w:val="000000" w:themeColor="text1"/>
        </w:rPr>
        <w:t>,</w:t>
      </w:r>
      <w:r w:rsidR="00FE3F3B">
        <w:rPr>
          <w:color w:val="000000" w:themeColor="text1"/>
        </w:rPr>
        <w:t xml:space="preserve"> in hun artikel over de introductie van de </w:t>
      </w:r>
      <w:proofErr w:type="spellStart"/>
      <w:r w:rsidR="00FE3F3B">
        <w:rPr>
          <w:color w:val="000000" w:themeColor="text1"/>
        </w:rPr>
        <w:t>omzetgerelateerde</w:t>
      </w:r>
      <w:proofErr w:type="spellEnd"/>
      <w:r w:rsidR="00FE3F3B">
        <w:rPr>
          <w:color w:val="000000" w:themeColor="text1"/>
        </w:rPr>
        <w:t xml:space="preserve"> boete</w:t>
      </w:r>
      <w:r>
        <w:rPr>
          <w:color w:val="000000" w:themeColor="text1"/>
        </w:rPr>
        <w:t>,</w:t>
      </w:r>
      <w:r w:rsidR="00FE3F3B">
        <w:rPr>
          <w:color w:val="000000" w:themeColor="text1"/>
        </w:rPr>
        <w:t xml:space="preserve"> </w:t>
      </w:r>
      <w:r w:rsidR="00AA0C32">
        <w:rPr>
          <w:color w:val="000000" w:themeColor="text1"/>
        </w:rPr>
        <w:t>er</w:t>
      </w:r>
      <w:r w:rsidR="00FE3F3B">
        <w:rPr>
          <w:color w:val="000000" w:themeColor="text1"/>
        </w:rPr>
        <w:t>op dat de financiële toezichthouders de oorspronkelijke boetesystemati</w:t>
      </w:r>
      <w:r w:rsidR="008B009D">
        <w:rPr>
          <w:color w:val="000000" w:themeColor="text1"/>
        </w:rPr>
        <w:t xml:space="preserve">ek geenszins </w:t>
      </w:r>
      <w:r w:rsidR="00FE3F3B">
        <w:rPr>
          <w:color w:val="000000" w:themeColor="text1"/>
        </w:rPr>
        <w:t xml:space="preserve">als knellend </w:t>
      </w:r>
      <w:r w:rsidR="0046112B">
        <w:rPr>
          <w:color w:val="000000" w:themeColor="text1"/>
        </w:rPr>
        <w:t>hebben erva</w:t>
      </w:r>
      <w:r w:rsidR="00FE3F3B">
        <w:rPr>
          <w:color w:val="000000" w:themeColor="text1"/>
        </w:rPr>
        <w:t xml:space="preserve">ren (2016, p. 144). </w:t>
      </w:r>
      <w:r w:rsidR="0046112B">
        <w:rPr>
          <w:color w:val="000000" w:themeColor="text1"/>
        </w:rPr>
        <w:t>Ook wijzen zij er</w:t>
      </w:r>
      <w:r w:rsidR="00FE3F3B">
        <w:rPr>
          <w:color w:val="000000" w:themeColor="text1"/>
        </w:rPr>
        <w:t xml:space="preserve">op dat dit beeld evenmin naar voren kwam uit eerdergenoemde evaluatie van het boetestelsel. </w:t>
      </w:r>
      <w:r w:rsidR="008B009D">
        <w:rPr>
          <w:color w:val="000000" w:themeColor="text1"/>
        </w:rPr>
        <w:t xml:space="preserve">Sterker nog, ik bespeur tussen de regels enige aarzeling over nut en noodzaak van de </w:t>
      </w:r>
      <w:proofErr w:type="spellStart"/>
      <w:r w:rsidR="008B009D">
        <w:rPr>
          <w:color w:val="000000" w:themeColor="text1"/>
        </w:rPr>
        <w:t>omzetgerelateerde</w:t>
      </w:r>
      <w:proofErr w:type="spellEnd"/>
      <w:r w:rsidR="008B009D">
        <w:rPr>
          <w:color w:val="000000" w:themeColor="text1"/>
        </w:rPr>
        <w:t xml:space="preserve"> boete (p. 146). </w:t>
      </w:r>
      <w:r w:rsidR="00CD37A6">
        <w:rPr>
          <w:color w:val="000000" w:themeColor="text1"/>
        </w:rPr>
        <w:t>In h</w:t>
      </w:r>
      <w:r w:rsidR="008B009D">
        <w:rPr>
          <w:color w:val="000000" w:themeColor="text1"/>
        </w:rPr>
        <w:t xml:space="preserve">et verlengde hiervan vragen de auteurs </w:t>
      </w:r>
      <w:r w:rsidR="00CD37A6">
        <w:rPr>
          <w:color w:val="000000" w:themeColor="text1"/>
        </w:rPr>
        <w:t xml:space="preserve">zich af hoe de financiële toezichthouders tot een passende </w:t>
      </w:r>
      <w:proofErr w:type="spellStart"/>
      <w:r w:rsidR="00CD37A6">
        <w:rPr>
          <w:color w:val="000000" w:themeColor="text1"/>
        </w:rPr>
        <w:t>omzetgerelateerde</w:t>
      </w:r>
      <w:proofErr w:type="spellEnd"/>
      <w:r w:rsidR="00CD37A6">
        <w:rPr>
          <w:color w:val="000000" w:themeColor="text1"/>
        </w:rPr>
        <w:t xml:space="preserve"> boete </w:t>
      </w:r>
      <w:r w:rsidR="008B009D">
        <w:rPr>
          <w:color w:val="000000" w:themeColor="text1"/>
        </w:rPr>
        <w:t xml:space="preserve">zouden </w:t>
      </w:r>
      <w:r w:rsidR="00CD37A6">
        <w:rPr>
          <w:color w:val="000000" w:themeColor="text1"/>
        </w:rPr>
        <w:t>moeten komen</w:t>
      </w:r>
      <w:r w:rsidR="008B009D">
        <w:rPr>
          <w:color w:val="000000" w:themeColor="text1"/>
        </w:rPr>
        <w:t xml:space="preserve"> en hoe die</w:t>
      </w:r>
      <w:r w:rsidR="005542A7">
        <w:rPr>
          <w:color w:val="000000" w:themeColor="text1"/>
        </w:rPr>
        <w:t xml:space="preserve"> te onderbouwen</w:t>
      </w:r>
      <w:r w:rsidR="00CD37A6">
        <w:rPr>
          <w:color w:val="000000" w:themeColor="text1"/>
        </w:rPr>
        <w:t xml:space="preserve"> (p. 145). </w:t>
      </w:r>
      <w:r w:rsidR="0075732F">
        <w:rPr>
          <w:color w:val="000000" w:themeColor="text1"/>
        </w:rPr>
        <w:t xml:space="preserve">De wet biedt hier weinig houvast, het Boetebesluit iets meer. </w:t>
      </w:r>
      <w:r w:rsidR="009D0CE5">
        <w:rPr>
          <w:color w:val="000000" w:themeColor="text1"/>
        </w:rPr>
        <w:t xml:space="preserve">Hier doet zich het gemis </w:t>
      </w:r>
      <w:r w:rsidR="00B8358C">
        <w:rPr>
          <w:color w:val="000000" w:themeColor="text1"/>
        </w:rPr>
        <w:t xml:space="preserve">gevoelen </w:t>
      </w:r>
      <w:r w:rsidR="008B009D">
        <w:rPr>
          <w:color w:val="000000" w:themeColor="text1"/>
        </w:rPr>
        <w:t xml:space="preserve">van beleidsregels </w:t>
      </w:r>
      <w:r w:rsidR="00B8358C">
        <w:rPr>
          <w:color w:val="000000" w:themeColor="text1"/>
        </w:rPr>
        <w:t>over het gebruik van de boetebevoegdheid en het bepalen van de hoogte ervan</w:t>
      </w:r>
      <w:r w:rsidR="008B009D">
        <w:rPr>
          <w:color w:val="000000" w:themeColor="text1"/>
        </w:rPr>
        <w:t xml:space="preserve">, zoals ik </w:t>
      </w:r>
      <w:r w:rsidR="00B8358C">
        <w:rPr>
          <w:color w:val="000000" w:themeColor="text1"/>
        </w:rPr>
        <w:t>eerder opmerkte op basis van mijn promotieonderzoek naar het gebruik van de bestuurlijke boete in de praktijk van het financieel toezicht</w:t>
      </w:r>
      <w:r w:rsidR="009D0CE5">
        <w:rPr>
          <w:color w:val="000000" w:themeColor="text1"/>
        </w:rPr>
        <w:t xml:space="preserve"> </w:t>
      </w:r>
      <w:r w:rsidR="00B8358C">
        <w:rPr>
          <w:color w:val="000000" w:themeColor="text1"/>
        </w:rPr>
        <w:t xml:space="preserve">(Mein, 2015, p. 311). </w:t>
      </w:r>
    </w:p>
    <w:p w14:paraId="6D6CA4C1" w14:textId="77777777" w:rsidR="0063283A" w:rsidRDefault="0063283A" w:rsidP="00EC658F">
      <w:pPr>
        <w:rPr>
          <w:color w:val="000000" w:themeColor="text1"/>
        </w:rPr>
      </w:pPr>
    </w:p>
    <w:p w14:paraId="4593DEA9" w14:textId="0EE13DC0" w:rsidR="008B009D" w:rsidRPr="0090605B" w:rsidRDefault="0090605B" w:rsidP="00EC658F">
      <w:pPr>
        <w:rPr>
          <w:i/>
          <w:color w:val="000000" w:themeColor="text1"/>
        </w:rPr>
      </w:pPr>
      <w:r w:rsidRPr="0090605B">
        <w:rPr>
          <w:i/>
          <w:color w:val="000000" w:themeColor="text1"/>
        </w:rPr>
        <w:t xml:space="preserve">Boetes nog steeds gematigd </w:t>
      </w:r>
    </w:p>
    <w:p w14:paraId="7BF95FDE" w14:textId="10466FD0" w:rsidR="0063283A" w:rsidRDefault="008B009D" w:rsidP="00EC658F">
      <w:r>
        <w:rPr>
          <w:color w:val="000000" w:themeColor="text1"/>
        </w:rPr>
        <w:t>Hoe hoog</w:t>
      </w:r>
      <w:r w:rsidR="00990924">
        <w:rPr>
          <w:color w:val="000000" w:themeColor="text1"/>
        </w:rPr>
        <w:t xml:space="preserve"> lag de boetelat de afgelopen jaren</w:t>
      </w:r>
      <w:r w:rsidR="00853E11">
        <w:rPr>
          <w:color w:val="000000" w:themeColor="text1"/>
        </w:rPr>
        <w:t xml:space="preserve">? Is er </w:t>
      </w:r>
      <w:r>
        <w:rPr>
          <w:color w:val="000000" w:themeColor="text1"/>
        </w:rPr>
        <w:t xml:space="preserve">al een </w:t>
      </w:r>
      <w:proofErr w:type="spellStart"/>
      <w:r>
        <w:rPr>
          <w:color w:val="000000" w:themeColor="text1"/>
        </w:rPr>
        <w:t>omzetgerelateerde</w:t>
      </w:r>
      <w:proofErr w:type="spellEnd"/>
      <w:r>
        <w:rPr>
          <w:color w:val="000000" w:themeColor="text1"/>
        </w:rPr>
        <w:t xml:space="preserve"> boete opgelegd? </w:t>
      </w:r>
      <w:r w:rsidR="0063283A">
        <w:rPr>
          <w:color w:val="000000" w:themeColor="text1"/>
        </w:rPr>
        <w:t>Daarvoor heb ik</w:t>
      </w:r>
      <w:r w:rsidR="00EF407E">
        <w:rPr>
          <w:color w:val="000000" w:themeColor="text1"/>
        </w:rPr>
        <w:t xml:space="preserve"> </w:t>
      </w:r>
      <w:r w:rsidR="00A07996">
        <w:rPr>
          <w:color w:val="000000" w:themeColor="text1"/>
        </w:rPr>
        <w:t xml:space="preserve">een </w:t>
      </w:r>
      <w:r w:rsidR="00EF407E">
        <w:rPr>
          <w:color w:val="000000" w:themeColor="text1"/>
        </w:rPr>
        <w:t xml:space="preserve">beknopte </w:t>
      </w:r>
      <w:r w:rsidR="0063283A">
        <w:rPr>
          <w:color w:val="000000" w:themeColor="text1"/>
        </w:rPr>
        <w:t xml:space="preserve">analyse gemaakt van de boetes die vanaf 2015 zijn opgelegd door de financiële toezichthouders. Sinds 1 augustus 2014 kan immers een boete worden </w:t>
      </w:r>
      <w:r w:rsidR="0063283A" w:rsidRPr="0063283A">
        <w:rPr>
          <w:color w:val="000000" w:themeColor="text1"/>
        </w:rPr>
        <w:t xml:space="preserve">opgelegd van maximaal </w:t>
      </w:r>
      <w:r w:rsidR="0063283A" w:rsidRPr="0063283A">
        <w:t xml:space="preserve">5 miljoen euro of </w:t>
      </w:r>
      <w:r w:rsidR="00D663A3">
        <w:t xml:space="preserve">van </w:t>
      </w:r>
      <w:r w:rsidR="0063283A" w:rsidRPr="0063283A">
        <w:t xml:space="preserve">10% van de jaaromzet, </w:t>
      </w:r>
      <w:r w:rsidR="0063283A">
        <w:t xml:space="preserve">aan </w:t>
      </w:r>
      <w:r w:rsidR="0063283A" w:rsidRPr="0063283A">
        <w:t>banken en bepaalde beleggingsondernemingen</w:t>
      </w:r>
      <w:r w:rsidR="0063283A">
        <w:t xml:space="preserve">. </w:t>
      </w:r>
      <w:r w:rsidR="00EF407E">
        <w:t xml:space="preserve">Daarbij zij opgemerkt </w:t>
      </w:r>
      <w:r w:rsidR="00550668">
        <w:t xml:space="preserve">dat de </w:t>
      </w:r>
      <w:r w:rsidR="00E57054">
        <w:t>door</w:t>
      </w:r>
      <w:r w:rsidR="00550668">
        <w:t xml:space="preserve">looptijd tussen </w:t>
      </w:r>
      <w:r w:rsidR="00460CCE">
        <w:t>overtreding</w:t>
      </w:r>
      <w:r w:rsidR="00550668">
        <w:t xml:space="preserve"> en boete in deze sector vr</w:t>
      </w:r>
      <w:r w:rsidR="00EF407E">
        <w:t xml:space="preserve">ij lang is. Ik moet het dus doen met </w:t>
      </w:r>
      <w:r w:rsidR="00550668">
        <w:t xml:space="preserve">de tot nu toe openbaar gemaakte boetebesluiten, niet wetende wat er nog in de pijplijn zit. </w:t>
      </w:r>
    </w:p>
    <w:p w14:paraId="66A88D4E" w14:textId="77777777" w:rsidR="00EF407E" w:rsidRDefault="00EF407E" w:rsidP="00EC658F"/>
    <w:p w14:paraId="05401F9B" w14:textId="336BBF25" w:rsidR="00B74DC7" w:rsidRDefault="00A840B0" w:rsidP="00EC658F">
      <w:r>
        <w:t xml:space="preserve">De AFM heeft in 2015 zeventien </w:t>
      </w:r>
      <w:r w:rsidR="00170550">
        <w:t>boetes opgelegd en in 2016 vijftien</w:t>
      </w:r>
      <w:r w:rsidR="00EF407E">
        <w:t>.</w:t>
      </w:r>
      <w:r w:rsidR="00EF407E">
        <w:rPr>
          <w:rStyle w:val="FootnoteReference"/>
        </w:rPr>
        <w:footnoteReference w:id="23"/>
      </w:r>
      <w:r w:rsidR="00EF407E">
        <w:t xml:space="preserve"> </w:t>
      </w:r>
      <w:r w:rsidR="00722EE2">
        <w:t xml:space="preserve">In het jaarverslag </w:t>
      </w:r>
      <w:r w:rsidR="00D86DA7">
        <w:t>o</w:t>
      </w:r>
      <w:r w:rsidR="005262AD">
        <w:t>ver 2</w:t>
      </w:r>
      <w:r w:rsidR="00D86DA7">
        <w:t>0</w:t>
      </w:r>
      <w:r w:rsidR="005262AD">
        <w:t>1</w:t>
      </w:r>
      <w:r w:rsidR="00D86DA7">
        <w:t xml:space="preserve">5 </w:t>
      </w:r>
      <w:r w:rsidR="00722EE2">
        <w:t>staat dat het vooral om zw</w:t>
      </w:r>
      <w:r w:rsidR="00D86DA7">
        <w:t>aardere en complexe zaken ging (2016, p. 125). Dat klopt ook wel als je de boete</w:t>
      </w:r>
      <w:r w:rsidR="00856619">
        <w:t>besluiten op de website nader onder</w:t>
      </w:r>
      <w:r w:rsidR="00D86DA7">
        <w:t xml:space="preserve"> de </w:t>
      </w:r>
      <w:r w:rsidR="00856619">
        <w:t>loep</w:t>
      </w:r>
      <w:r w:rsidR="00D86DA7">
        <w:t xml:space="preserve"> neemt. </w:t>
      </w:r>
      <w:r w:rsidR="00301F0E">
        <w:t>In dat verband valt e</w:t>
      </w:r>
      <w:r w:rsidR="00BB45F3">
        <w:t>en zeven</w:t>
      </w:r>
      <w:r w:rsidR="00D86DA7">
        <w:t>t</w:t>
      </w:r>
      <w:r w:rsidR="00301F0E">
        <w:t xml:space="preserve">al boetes </w:t>
      </w:r>
      <w:r w:rsidR="005262AD">
        <w:t>op</w:t>
      </w:r>
      <w:r w:rsidR="00AB006E">
        <w:t>, opgelegd aan draagkrachtige instellingen en personen</w:t>
      </w:r>
      <w:r w:rsidR="00D86DA7">
        <w:t xml:space="preserve">: een boete van </w:t>
      </w:r>
      <w:r w:rsidR="00D86DA7">
        <w:rPr>
          <w:rFonts w:ascii="Calibri" w:hAnsi="Calibri"/>
        </w:rPr>
        <w:t>€</w:t>
      </w:r>
      <w:r w:rsidR="00D86DA7">
        <w:t xml:space="preserve"> 2.000.000,- opgelegd aan ABN AMRO </w:t>
      </w:r>
      <w:r w:rsidR="00FD3C4F">
        <w:t>Ban</w:t>
      </w:r>
      <w:r w:rsidR="00BB45F3">
        <w:t>k</w:t>
      </w:r>
      <w:r w:rsidR="00FD3C4F">
        <w:t xml:space="preserve"> N.V. </w:t>
      </w:r>
      <w:r w:rsidR="0098007D">
        <w:t xml:space="preserve">in verband met </w:t>
      </w:r>
      <w:r w:rsidR="00BB45F3">
        <w:t>schending</w:t>
      </w:r>
      <w:r w:rsidR="005267FC">
        <w:t xml:space="preserve"> van voorschriften met betrekking tot de bedrijfsvoering</w:t>
      </w:r>
      <w:r w:rsidR="00BB45F3">
        <w:t>,</w:t>
      </w:r>
      <w:r w:rsidR="005267FC">
        <w:t xml:space="preserve"> in het geval van dienstverlening </w:t>
      </w:r>
      <w:proofErr w:type="spellStart"/>
      <w:r w:rsidR="005267FC">
        <w:t>terzake</w:t>
      </w:r>
      <w:proofErr w:type="spellEnd"/>
      <w:r w:rsidR="005267FC">
        <w:t xml:space="preserve"> van </w:t>
      </w:r>
      <w:r w:rsidR="00FD3C4F">
        <w:t xml:space="preserve">transacties in </w:t>
      </w:r>
      <w:r w:rsidR="005267FC">
        <w:t xml:space="preserve">rentederivaten </w:t>
      </w:r>
      <w:r w:rsidR="0098007D">
        <w:t xml:space="preserve">(art. 35, 1 </w:t>
      </w:r>
      <w:proofErr w:type="spellStart"/>
      <w:r w:rsidR="0098007D">
        <w:t>BGfo</w:t>
      </w:r>
      <w:proofErr w:type="spellEnd"/>
      <w:r w:rsidR="0098007D">
        <w:t>)</w:t>
      </w:r>
      <w:r w:rsidR="00D86DA7">
        <w:t xml:space="preserve">, </w:t>
      </w:r>
      <w:r w:rsidR="00204D79">
        <w:t xml:space="preserve">een tweetal boetes van respectievelijk </w:t>
      </w:r>
    </w:p>
    <w:p w14:paraId="63FD5C8D" w14:textId="77777777" w:rsidR="00B74DC7" w:rsidRDefault="00204D79" w:rsidP="00EC658F">
      <w:r>
        <w:rPr>
          <w:rFonts w:ascii="Calibri" w:hAnsi="Calibri"/>
        </w:rPr>
        <w:t>€</w:t>
      </w:r>
      <w:r>
        <w:t xml:space="preserve"> 1.000.000,- en </w:t>
      </w:r>
      <w:r>
        <w:rPr>
          <w:rFonts w:ascii="Calibri" w:hAnsi="Calibri"/>
        </w:rPr>
        <w:t>€</w:t>
      </w:r>
      <w:r>
        <w:t xml:space="preserve"> 1.250.000,- aan Royal Imtech N</w:t>
      </w:r>
      <w:r w:rsidR="00FD3C4F">
        <w:t>.</w:t>
      </w:r>
      <w:r>
        <w:t>V</w:t>
      </w:r>
      <w:r w:rsidR="00FD3C4F">
        <w:t>.</w:t>
      </w:r>
      <w:r>
        <w:t xml:space="preserve"> voor het niet tijdig publiceren van koersgevoelige informatie (art. 5:25i </w:t>
      </w:r>
      <w:proofErr w:type="spellStart"/>
      <w:r>
        <w:t>Wft</w:t>
      </w:r>
      <w:proofErr w:type="spellEnd"/>
      <w:r>
        <w:t xml:space="preserve">) en marktmanipulatie (art. 5:58 </w:t>
      </w:r>
      <w:proofErr w:type="spellStart"/>
      <w:r>
        <w:t>Wft</w:t>
      </w:r>
      <w:proofErr w:type="spellEnd"/>
      <w:r>
        <w:t>)</w:t>
      </w:r>
      <w:r w:rsidR="00BB45F3">
        <w:t xml:space="preserve"> en </w:t>
      </w:r>
      <w:r>
        <w:t xml:space="preserve">een viertal boetes aan bestuurders van datzelfde Imtech (in totaal per persoon </w:t>
      </w:r>
      <w:r>
        <w:rPr>
          <w:rFonts w:ascii="Calibri" w:hAnsi="Calibri"/>
        </w:rPr>
        <w:t>€</w:t>
      </w:r>
      <w:r w:rsidR="00301F0E">
        <w:t xml:space="preserve"> 1.0</w:t>
      </w:r>
      <w:r>
        <w:t xml:space="preserve">00.000,- en </w:t>
      </w:r>
    </w:p>
    <w:p w14:paraId="213BB3F3" w14:textId="25B8648A" w:rsidR="00B17B93" w:rsidRPr="00B74DC7" w:rsidRDefault="00204D79" w:rsidP="00EC658F">
      <w:pPr>
        <w:rPr>
          <w:color w:val="FF0000"/>
        </w:rPr>
      </w:pPr>
      <w:r>
        <w:rPr>
          <w:rFonts w:ascii="Calibri" w:hAnsi="Calibri"/>
        </w:rPr>
        <w:t>€</w:t>
      </w:r>
      <w:r>
        <w:t xml:space="preserve"> 1.350.000,-)</w:t>
      </w:r>
      <w:r w:rsidR="00BB45F3">
        <w:t xml:space="preserve">. </w:t>
      </w:r>
      <w:r w:rsidR="005262AD">
        <w:t xml:space="preserve">Niettemin zijn deze boetes niet opvallend hoog, gelet op het basisboetebedrag voor ernstige overtredingen van </w:t>
      </w:r>
      <w:r w:rsidR="005262AD">
        <w:rPr>
          <w:rFonts w:ascii="Calibri" w:hAnsi="Calibri"/>
        </w:rPr>
        <w:t>€</w:t>
      </w:r>
      <w:r w:rsidR="005262AD">
        <w:t xml:space="preserve"> 2.000.000,-. </w:t>
      </w:r>
      <w:r w:rsidR="00A840B0">
        <w:t>Alle</w:t>
      </w:r>
      <w:r w:rsidR="00BB45F3">
        <w:t xml:space="preserve"> overige (10</w:t>
      </w:r>
      <w:r w:rsidR="00A840B0">
        <w:t xml:space="preserve">) </w:t>
      </w:r>
      <w:r w:rsidR="00A50D55">
        <w:t xml:space="preserve">boetes kwamen uit onder het basisbedrag. </w:t>
      </w:r>
      <w:r w:rsidR="00D86DA7">
        <w:t>I</w:t>
      </w:r>
      <w:r w:rsidR="00A60DD7">
        <w:t xml:space="preserve">n 2016 werden relatief </w:t>
      </w:r>
      <w:r w:rsidR="00D86DA7">
        <w:t>hoge boetes opgelegd aan de vier grote accou</w:t>
      </w:r>
      <w:r w:rsidR="0098366F">
        <w:t xml:space="preserve">ntantsorganisaties </w:t>
      </w:r>
      <w:r w:rsidR="00D86DA7">
        <w:t>wegens over</w:t>
      </w:r>
      <w:r w:rsidR="00A60DD7">
        <w:t>treding van hun zorgplicht (art. 1</w:t>
      </w:r>
      <w:r w:rsidR="00170550">
        <w:t>4</w:t>
      </w:r>
      <w:r w:rsidR="00A60DD7">
        <w:t xml:space="preserve"> Wet toezicht accountant</w:t>
      </w:r>
      <w:r w:rsidR="00AD76BD">
        <w:t>s</w:t>
      </w:r>
      <w:r w:rsidR="00A60DD7">
        <w:t>organisaties</w:t>
      </w:r>
      <w:r w:rsidR="00D86DA7">
        <w:t>).</w:t>
      </w:r>
      <w:r w:rsidR="00D86DA7">
        <w:rPr>
          <w:rStyle w:val="FootnoteReference"/>
        </w:rPr>
        <w:footnoteReference w:id="24"/>
      </w:r>
      <w:r w:rsidR="00DF3DFC">
        <w:t xml:space="preserve"> Een boete van </w:t>
      </w:r>
      <w:r w:rsidR="00DF3DFC">
        <w:rPr>
          <w:rFonts w:ascii="Calibri" w:hAnsi="Calibri"/>
        </w:rPr>
        <w:t>€</w:t>
      </w:r>
      <w:r w:rsidR="00267BE7">
        <w:t xml:space="preserve"> 1.81</w:t>
      </w:r>
      <w:r w:rsidR="00DF3DFC">
        <w:t>0.000,-</w:t>
      </w:r>
      <w:r w:rsidR="00267BE7">
        <w:t xml:space="preserve"> voor Deloitte, </w:t>
      </w:r>
      <w:r w:rsidR="00267BE7">
        <w:rPr>
          <w:rFonts w:ascii="Calibri" w:hAnsi="Calibri"/>
        </w:rPr>
        <w:t>€</w:t>
      </w:r>
      <w:r w:rsidR="00267BE7">
        <w:t xml:space="preserve"> 2.230.000,- voor EY, </w:t>
      </w:r>
      <w:r w:rsidR="00267BE7">
        <w:rPr>
          <w:rFonts w:ascii="Calibri" w:hAnsi="Calibri"/>
        </w:rPr>
        <w:t>€</w:t>
      </w:r>
      <w:r w:rsidR="00267BE7">
        <w:t xml:space="preserve"> 1.245.000,- voor KPMG en </w:t>
      </w:r>
      <w:r w:rsidR="00267BE7">
        <w:rPr>
          <w:rFonts w:ascii="Calibri" w:hAnsi="Calibri"/>
        </w:rPr>
        <w:t>€</w:t>
      </w:r>
      <w:r w:rsidR="00267BE7">
        <w:t xml:space="preserve"> 845.000,- voor </w:t>
      </w:r>
      <w:proofErr w:type="spellStart"/>
      <w:r w:rsidR="00267BE7">
        <w:t>PwC</w:t>
      </w:r>
      <w:proofErr w:type="spellEnd"/>
      <w:r w:rsidR="00267BE7">
        <w:t>.</w:t>
      </w:r>
      <w:r w:rsidR="005B2F98">
        <w:rPr>
          <w:rStyle w:val="FootnoteReference"/>
        </w:rPr>
        <w:footnoteReference w:id="25"/>
      </w:r>
      <w:r w:rsidR="00267BE7">
        <w:t xml:space="preserve"> </w:t>
      </w:r>
      <w:r w:rsidR="00C5455E">
        <w:t xml:space="preserve">De overige </w:t>
      </w:r>
      <w:r w:rsidR="00A840B0">
        <w:t>i</w:t>
      </w:r>
      <w:r w:rsidR="00C5455E">
        <w:t>n 2016 opgelegde boetes lagen onder het basisbedrag</w:t>
      </w:r>
      <w:r w:rsidR="008A15B4">
        <w:t>, voor zover ik kon nagaan</w:t>
      </w:r>
      <w:r w:rsidR="00C5455E">
        <w:t xml:space="preserve">. </w:t>
      </w:r>
      <w:r w:rsidR="00BB45F3">
        <w:t xml:space="preserve">De AFM heeft in 2015 en 2016 geen </w:t>
      </w:r>
      <w:proofErr w:type="spellStart"/>
      <w:r w:rsidR="00BB45F3">
        <w:t>omzetgerelateerde</w:t>
      </w:r>
      <w:proofErr w:type="spellEnd"/>
      <w:r w:rsidR="00BB45F3">
        <w:t xml:space="preserve"> boetes opge</w:t>
      </w:r>
      <w:r w:rsidR="00D576D0">
        <w:t xml:space="preserve">legd, voor zover ik kan nagaan op basis van de beschikbare </w:t>
      </w:r>
      <w:r w:rsidR="00D576D0" w:rsidRPr="00B74DC7">
        <w:rPr>
          <w:color w:val="000000" w:themeColor="text1"/>
        </w:rPr>
        <w:t>bronnen</w:t>
      </w:r>
      <w:r w:rsidR="00B74DC7" w:rsidRPr="00B74DC7">
        <w:rPr>
          <w:color w:val="000000" w:themeColor="text1"/>
        </w:rPr>
        <w:t xml:space="preserve">. </w:t>
      </w:r>
      <w:r w:rsidR="00B17B93" w:rsidRPr="00B74DC7">
        <w:rPr>
          <w:color w:val="000000" w:themeColor="text1"/>
        </w:rPr>
        <w:t xml:space="preserve">DNB </w:t>
      </w:r>
      <w:r w:rsidR="00B17B93">
        <w:t>heeft in 2015</w:t>
      </w:r>
      <w:r w:rsidR="00AB006E">
        <w:t xml:space="preserve"> 23 boetes opgelegd en in 2016 negen</w:t>
      </w:r>
      <w:r w:rsidR="00B33BDB">
        <w:t>.</w:t>
      </w:r>
      <w:r w:rsidR="00B33BDB">
        <w:rPr>
          <w:rStyle w:val="FootnoteReference"/>
        </w:rPr>
        <w:footnoteReference w:id="26"/>
      </w:r>
      <w:r w:rsidR="00755B71">
        <w:t xml:space="preserve"> Voor zover </w:t>
      </w:r>
      <w:r w:rsidR="00557BD4">
        <w:t>ik heb kunnen nagaan blijven die ruimschoots onder</w:t>
      </w:r>
      <w:r w:rsidR="006E379A">
        <w:t xml:space="preserve"> eerdergenoemd basisbedrag en </w:t>
      </w:r>
      <w:r w:rsidR="002843D1">
        <w:t xml:space="preserve">zijn die </w:t>
      </w:r>
      <w:r w:rsidR="006E379A">
        <w:t xml:space="preserve">niet </w:t>
      </w:r>
      <w:proofErr w:type="spellStart"/>
      <w:r w:rsidR="006E379A">
        <w:t>omzetgerelateerd</w:t>
      </w:r>
      <w:proofErr w:type="spellEnd"/>
      <w:r w:rsidR="006E379A">
        <w:t>.</w:t>
      </w:r>
      <w:r w:rsidR="006E379A">
        <w:rPr>
          <w:rStyle w:val="FootnoteReference"/>
        </w:rPr>
        <w:footnoteReference w:id="27"/>
      </w:r>
      <w:r w:rsidR="006E379A">
        <w:t xml:space="preserve"> </w:t>
      </w:r>
    </w:p>
    <w:p w14:paraId="0FBCB3D5" w14:textId="77777777" w:rsidR="00D86DA7" w:rsidRDefault="00D86DA7" w:rsidP="00EC658F"/>
    <w:p w14:paraId="72AC8A53" w14:textId="03521EDB" w:rsidR="00EF407E" w:rsidRDefault="002843D1" w:rsidP="00EC658F">
      <w:r>
        <w:t xml:space="preserve">Kortom, de huidige boetepraktijk wekt </w:t>
      </w:r>
      <w:r w:rsidR="00AF656A">
        <w:t xml:space="preserve">bepaald </w:t>
      </w:r>
      <w:r>
        <w:t>niet de indruk dat de financiële</w:t>
      </w:r>
      <w:r w:rsidR="0090605B">
        <w:t xml:space="preserve"> toezichthouders </w:t>
      </w:r>
      <w:r w:rsidR="00AF656A">
        <w:t xml:space="preserve">niet uit de voeten konden met het boetestelsel. Zij bleven immers ruimschoots onder het boeteplafond (van </w:t>
      </w:r>
      <w:r w:rsidR="00AF656A">
        <w:rPr>
          <w:rFonts w:ascii="Calibri" w:hAnsi="Calibri"/>
        </w:rPr>
        <w:t>€</w:t>
      </w:r>
      <w:r w:rsidR="00AF656A">
        <w:t xml:space="preserve"> 4.000.000,-) dat van kracht was voor de herziening van dat stelstel</w:t>
      </w:r>
      <w:r w:rsidR="0090605B">
        <w:t>.</w:t>
      </w:r>
      <w:r w:rsidR="002B1D6E">
        <w:t xml:space="preserve"> Doorgaans </w:t>
      </w:r>
      <w:r w:rsidR="00AF656A">
        <w:t xml:space="preserve">zagen zij </w:t>
      </w:r>
      <w:r w:rsidR="002B1D6E">
        <w:t xml:space="preserve">zich genoodzaakt </w:t>
      </w:r>
      <w:r>
        <w:t xml:space="preserve">de uiteindelijke boete </w:t>
      </w:r>
      <w:r w:rsidR="002B1D6E">
        <w:t>te matigen</w:t>
      </w:r>
      <w:r>
        <w:t xml:space="preserve"> tot een bedrag dat </w:t>
      </w:r>
      <w:r w:rsidR="00AF656A">
        <w:t xml:space="preserve">ruim </w:t>
      </w:r>
      <w:r>
        <w:t xml:space="preserve">onder het basisbedrag van </w:t>
      </w:r>
      <w:r>
        <w:rPr>
          <w:rFonts w:ascii="Calibri" w:hAnsi="Calibri"/>
        </w:rPr>
        <w:t>€</w:t>
      </w:r>
      <w:r w:rsidR="00AF656A">
        <w:t xml:space="preserve"> 2.000.000,- li</w:t>
      </w:r>
      <w:r>
        <w:t>g</w:t>
      </w:r>
      <w:r w:rsidR="00AF656A">
        <w:t>t</w:t>
      </w:r>
      <w:r>
        <w:t xml:space="preserve">. </w:t>
      </w:r>
    </w:p>
    <w:p w14:paraId="470C2C87" w14:textId="77777777" w:rsidR="00C92729" w:rsidRDefault="00C92729" w:rsidP="00BE4F2B">
      <w:pPr>
        <w:rPr>
          <w:color w:val="FF0000"/>
        </w:rPr>
      </w:pPr>
    </w:p>
    <w:p w14:paraId="07F0BDED" w14:textId="237793E9" w:rsidR="0044265D" w:rsidRDefault="008B009D" w:rsidP="0044265D">
      <w:pPr>
        <w:pStyle w:val="ListParagraph"/>
        <w:numPr>
          <w:ilvl w:val="0"/>
          <w:numId w:val="1"/>
        </w:numPr>
      </w:pPr>
      <w:r w:rsidRPr="00285F91">
        <w:t>Afsluiting</w:t>
      </w:r>
    </w:p>
    <w:p w14:paraId="39B2D496" w14:textId="77777777" w:rsidR="0044265D" w:rsidRDefault="0044265D" w:rsidP="0044265D"/>
    <w:p w14:paraId="7D5B084B" w14:textId="1CC8F730" w:rsidR="0092761F" w:rsidRDefault="0044265D" w:rsidP="0092761F">
      <w:r>
        <w:t xml:space="preserve">De verhoging van het boeteplafond in de financieel toezichtwetgeving </w:t>
      </w:r>
      <w:r w:rsidR="002F325A">
        <w:t xml:space="preserve">is </w:t>
      </w:r>
      <w:r w:rsidR="0092761F">
        <w:t xml:space="preserve">in mijn </w:t>
      </w:r>
      <w:r w:rsidR="002F325A">
        <w:t xml:space="preserve">beleving een voorbeeld </w:t>
      </w:r>
      <w:r>
        <w:t xml:space="preserve">van </w:t>
      </w:r>
      <w:r w:rsidR="00390654">
        <w:t>symboolpolitiek</w:t>
      </w:r>
      <w:r>
        <w:t>.</w:t>
      </w:r>
      <w:r w:rsidR="00390654">
        <w:t xml:space="preserve"> Dat </w:t>
      </w:r>
      <w:r w:rsidR="00CF00AF">
        <w:t xml:space="preserve">wil zeggen </w:t>
      </w:r>
      <w:r w:rsidR="002F325A">
        <w:t xml:space="preserve">het verhogen van </w:t>
      </w:r>
      <w:r w:rsidR="00390654">
        <w:t xml:space="preserve">boetes als het </w:t>
      </w:r>
      <w:r w:rsidR="005B1836">
        <w:lastRenderedPageBreak/>
        <w:t xml:space="preserve">besluitvaardige en </w:t>
      </w:r>
      <w:r w:rsidR="00390654">
        <w:t xml:space="preserve">krachtige </w:t>
      </w:r>
      <w:r w:rsidR="0092761F">
        <w:t>overheids</w:t>
      </w:r>
      <w:r w:rsidR="00390654">
        <w:t>antwoord op missstanden in de financiële</w:t>
      </w:r>
      <w:r w:rsidR="009564E3">
        <w:t xml:space="preserve"> sector en het eerdere onvermogen om die het hoofd te bieden. </w:t>
      </w:r>
      <w:r w:rsidR="0092761F">
        <w:t xml:space="preserve">De afschrikkingsgedachte komt daarbij als rationele onderbouwing goed van pas, met de aantrekkingskracht van de eenvoud. Maar zo had Beccaria het vermoedelijk ook weer niet bedoeld, voor hem stond juist gematigdheid voorop bij het opleggen van straffen. </w:t>
      </w:r>
      <w:r w:rsidR="005B1836">
        <w:t>De symboliek van streng straffen ontneemt bovendien het zicht op effe</w:t>
      </w:r>
      <w:r w:rsidR="00E44C50">
        <w:t>ctief straffen, dat voortvloeit</w:t>
      </w:r>
      <w:r w:rsidR="005B1836">
        <w:t xml:space="preserve"> uit inzichten uit de wetenschap en signalen uit de toezichtpraktijk. </w:t>
      </w:r>
    </w:p>
    <w:p w14:paraId="7AD06699" w14:textId="77777777" w:rsidR="00390654" w:rsidRDefault="00390654" w:rsidP="0044265D"/>
    <w:p w14:paraId="23955608" w14:textId="7FBFB9FC" w:rsidR="0044265D" w:rsidRDefault="0044265D" w:rsidP="0044265D">
      <w:r>
        <w:t>Gelukkig raken steeds meer toezichthouders doordrongen van een alternat</w:t>
      </w:r>
      <w:r w:rsidR="002B1D6E">
        <w:t xml:space="preserve">ieve aanpak, ter aanvulling op </w:t>
      </w:r>
      <w:r>
        <w:t xml:space="preserve">de klassieke (gejuridiseerde) werkwijze. Geïnspireerd als zij zijn door inzichten uit onder meer de criminologie. Zoals die van Henk van de Bunt, die wees op het aanspreken van organisaties op hun sociale responsiviteit en het afstemmen hierop van de toezicht- en handhavingsstrategie. Wij </w:t>
      </w:r>
      <w:r w:rsidR="002B1D6E">
        <w:t>werken graag verder in deze onderzoekstraditie.</w:t>
      </w:r>
      <w:r>
        <w:t xml:space="preserve">  </w:t>
      </w:r>
    </w:p>
    <w:p w14:paraId="331230AC" w14:textId="77777777" w:rsidR="0044265D" w:rsidRDefault="0044265D" w:rsidP="0044265D"/>
    <w:p w14:paraId="12D7D367" w14:textId="7CD5D20F" w:rsidR="00285F91" w:rsidRPr="00285F91" w:rsidRDefault="00285F91" w:rsidP="00285F91">
      <w:pPr>
        <w:rPr>
          <w:color w:val="FF0000"/>
        </w:rPr>
      </w:pPr>
    </w:p>
    <w:p w14:paraId="49276044" w14:textId="436FB961" w:rsidR="00656B1F" w:rsidRPr="00C060BF" w:rsidRDefault="00B63EAD">
      <w:pPr>
        <w:rPr>
          <w:color w:val="000000" w:themeColor="text1"/>
        </w:rPr>
      </w:pPr>
      <w:r>
        <w:rPr>
          <w:color w:val="000000" w:themeColor="text1"/>
        </w:rPr>
        <w:br w:type="page"/>
      </w:r>
      <w:r w:rsidR="00656B1F" w:rsidRPr="0078099B">
        <w:rPr>
          <w:b/>
          <w:color w:val="000000" w:themeColor="text1"/>
        </w:rPr>
        <w:lastRenderedPageBreak/>
        <w:t>Geraadpleegde literatuur</w:t>
      </w:r>
    </w:p>
    <w:p w14:paraId="06A4E00E" w14:textId="77777777" w:rsidR="00656B1F" w:rsidRDefault="00656B1F">
      <w:pPr>
        <w:rPr>
          <w:color w:val="000000" w:themeColor="text1"/>
        </w:rPr>
      </w:pPr>
    </w:p>
    <w:p w14:paraId="29C71CD9" w14:textId="28533EBA" w:rsidR="00D86DA7" w:rsidRDefault="00D86DA7">
      <w:pPr>
        <w:rPr>
          <w:color w:val="000000" w:themeColor="text1"/>
        </w:rPr>
      </w:pPr>
      <w:r>
        <w:rPr>
          <w:color w:val="000000" w:themeColor="text1"/>
        </w:rPr>
        <w:t xml:space="preserve">Autoriteit Financiële Markten (2016), </w:t>
      </w:r>
      <w:r w:rsidRPr="00D86DA7">
        <w:rPr>
          <w:i/>
          <w:color w:val="000000" w:themeColor="text1"/>
        </w:rPr>
        <w:t>Jaarverslag 2015</w:t>
      </w:r>
      <w:r>
        <w:rPr>
          <w:color w:val="000000" w:themeColor="text1"/>
        </w:rPr>
        <w:t xml:space="preserve">. Amsterdam: AFM. </w:t>
      </w:r>
    </w:p>
    <w:p w14:paraId="29E3F8A8" w14:textId="77777777" w:rsidR="00D86DA7" w:rsidRDefault="00D86DA7">
      <w:pPr>
        <w:rPr>
          <w:color w:val="000000" w:themeColor="text1"/>
        </w:rPr>
      </w:pPr>
    </w:p>
    <w:p w14:paraId="2D0002C3" w14:textId="22A7D67E" w:rsidR="00B61203" w:rsidRDefault="00B61203">
      <w:pPr>
        <w:rPr>
          <w:color w:val="000000" w:themeColor="text1"/>
        </w:rPr>
      </w:pPr>
      <w:proofErr w:type="spellStart"/>
      <w:r>
        <w:rPr>
          <w:color w:val="000000" w:themeColor="text1"/>
        </w:rPr>
        <w:t>Bahreman</w:t>
      </w:r>
      <w:proofErr w:type="spellEnd"/>
      <w:r>
        <w:rPr>
          <w:color w:val="000000" w:themeColor="text1"/>
        </w:rPr>
        <w:t xml:space="preserve">, P.M.H. (2015). </w:t>
      </w:r>
      <w:r w:rsidRPr="00B61203">
        <w:rPr>
          <w:i/>
          <w:color w:val="000000" w:themeColor="text1"/>
        </w:rPr>
        <w:t xml:space="preserve">De prijs van het instrumentalisme. Over de effecten van het strafrechtelijk instrumentalisme voor de legitimiteit van het strafrecht, bezien vanuit de relationele rechtstheorie. </w:t>
      </w:r>
      <w:r>
        <w:rPr>
          <w:color w:val="000000" w:themeColor="text1"/>
        </w:rPr>
        <w:t xml:space="preserve">Den Haag: Boom Juridische Uitgevers. </w:t>
      </w:r>
    </w:p>
    <w:p w14:paraId="141C5D58" w14:textId="77777777" w:rsidR="00411422" w:rsidRDefault="00411422">
      <w:pPr>
        <w:rPr>
          <w:color w:val="000000" w:themeColor="text1"/>
        </w:rPr>
      </w:pPr>
    </w:p>
    <w:p w14:paraId="1F35C4E0" w14:textId="199981B8" w:rsidR="00411422" w:rsidRDefault="00411422">
      <w:pPr>
        <w:rPr>
          <w:color w:val="000000" w:themeColor="text1"/>
        </w:rPr>
      </w:pPr>
      <w:proofErr w:type="spellStart"/>
      <w:r>
        <w:rPr>
          <w:color w:val="000000" w:themeColor="text1"/>
        </w:rPr>
        <w:t>Barkhuysen</w:t>
      </w:r>
      <w:proofErr w:type="spellEnd"/>
      <w:r>
        <w:rPr>
          <w:color w:val="000000" w:themeColor="text1"/>
        </w:rPr>
        <w:t xml:space="preserve">, T., Emmerik, M.L. van, Ettekoven, B.J. van, Mul, V., Stijnen, R. &amp; Werd, M.F.J.M. de (2014). </w:t>
      </w:r>
      <w:r w:rsidRPr="00411422">
        <w:rPr>
          <w:i/>
          <w:color w:val="000000" w:themeColor="text1"/>
        </w:rPr>
        <w:t xml:space="preserve">Adequate rechtsbescherming bij </w:t>
      </w:r>
      <w:proofErr w:type="spellStart"/>
      <w:r w:rsidRPr="00411422">
        <w:rPr>
          <w:i/>
          <w:color w:val="000000" w:themeColor="text1"/>
        </w:rPr>
        <w:t>grondrechtenbeperkend</w:t>
      </w:r>
      <w:proofErr w:type="spellEnd"/>
      <w:r w:rsidRPr="00411422">
        <w:rPr>
          <w:i/>
          <w:color w:val="000000" w:themeColor="text1"/>
        </w:rPr>
        <w:t xml:space="preserve"> overheidsoptreden. Studie naar aanleiding van de agenda voor de rechtspraak</w:t>
      </w:r>
      <w:r>
        <w:rPr>
          <w:color w:val="000000" w:themeColor="text1"/>
        </w:rPr>
        <w:t xml:space="preserve">. Deventer: Kluwer. </w:t>
      </w:r>
    </w:p>
    <w:p w14:paraId="7476C782" w14:textId="77777777" w:rsidR="00B61203" w:rsidRDefault="00B61203">
      <w:pPr>
        <w:rPr>
          <w:color w:val="000000" w:themeColor="text1"/>
        </w:rPr>
      </w:pPr>
    </w:p>
    <w:p w14:paraId="5D72C495" w14:textId="77777777" w:rsidR="00FF7090" w:rsidRDefault="006949D5" w:rsidP="00FF7090">
      <w:pPr>
        <w:rPr>
          <w:color w:val="000000" w:themeColor="text1"/>
        </w:rPr>
      </w:pPr>
      <w:r>
        <w:rPr>
          <w:color w:val="000000" w:themeColor="text1"/>
        </w:rPr>
        <w:t xml:space="preserve">Beccaria, C. (2016 [1794]). </w:t>
      </w:r>
      <w:r w:rsidRPr="006949D5">
        <w:rPr>
          <w:i/>
          <w:color w:val="000000" w:themeColor="text1"/>
        </w:rPr>
        <w:t>Over misdaden en straffen</w:t>
      </w:r>
      <w:r>
        <w:rPr>
          <w:color w:val="000000" w:themeColor="text1"/>
        </w:rPr>
        <w:t xml:space="preserve">. (Vertaald en toegelicht door prof. dr. S.A.M. Stolwijk). Den Haag: Boom Juridisch. </w:t>
      </w:r>
    </w:p>
    <w:p w14:paraId="06CA6982" w14:textId="77777777" w:rsidR="00FF7090" w:rsidRDefault="00FF7090" w:rsidP="00FF7090">
      <w:pPr>
        <w:rPr>
          <w:color w:val="000000" w:themeColor="text1"/>
        </w:rPr>
      </w:pPr>
    </w:p>
    <w:p w14:paraId="5F103EB7" w14:textId="560FD4AB" w:rsidR="00FF27CC" w:rsidRDefault="00FF27CC">
      <w:pPr>
        <w:rPr>
          <w:color w:val="000000" w:themeColor="text1"/>
        </w:rPr>
      </w:pPr>
      <w:r w:rsidRPr="00F614CD">
        <w:rPr>
          <w:color w:val="000000" w:themeColor="text1"/>
        </w:rPr>
        <w:t xml:space="preserve">Bunt, H.G. van de (1992). </w:t>
      </w:r>
      <w:r w:rsidRPr="00FF27CC">
        <w:rPr>
          <w:i/>
          <w:color w:val="000000" w:themeColor="text1"/>
        </w:rPr>
        <w:t>Organisatiecriminaliteit</w:t>
      </w:r>
      <w:r>
        <w:rPr>
          <w:color w:val="000000" w:themeColor="text1"/>
        </w:rPr>
        <w:t xml:space="preserve"> (oratie). Arnhem: Gouda Quint. </w:t>
      </w:r>
    </w:p>
    <w:p w14:paraId="3410A4A3" w14:textId="77777777" w:rsidR="00D906B0" w:rsidRDefault="00D906B0">
      <w:pPr>
        <w:rPr>
          <w:color w:val="000000" w:themeColor="text1"/>
        </w:rPr>
      </w:pPr>
    </w:p>
    <w:p w14:paraId="7D88C360" w14:textId="33412F39" w:rsidR="00D906B0" w:rsidRDefault="00D906B0">
      <w:pPr>
        <w:rPr>
          <w:color w:val="000000" w:themeColor="text1"/>
        </w:rPr>
      </w:pPr>
      <w:proofErr w:type="spellStart"/>
      <w:r>
        <w:rPr>
          <w:color w:val="000000" w:themeColor="text1"/>
        </w:rPr>
        <w:t>Br</w:t>
      </w:r>
      <w:r>
        <w:rPr>
          <w:rFonts w:ascii="Calibri" w:hAnsi="Calibri"/>
          <w:color w:val="000000" w:themeColor="text1"/>
        </w:rPr>
        <w:t>ö</w:t>
      </w:r>
      <w:r>
        <w:rPr>
          <w:color w:val="000000" w:themeColor="text1"/>
        </w:rPr>
        <w:t>ring</w:t>
      </w:r>
      <w:proofErr w:type="spellEnd"/>
      <w:r>
        <w:rPr>
          <w:color w:val="000000" w:themeColor="text1"/>
        </w:rPr>
        <w:t xml:space="preserve">, H.E. (2016). </w:t>
      </w:r>
      <w:r w:rsidRPr="00D906B0">
        <w:rPr>
          <w:i/>
          <w:color w:val="000000" w:themeColor="text1"/>
        </w:rPr>
        <w:t>Bestraffende sancties in het strafrecht en het bestuursrecht</w:t>
      </w:r>
      <w:r>
        <w:rPr>
          <w:color w:val="000000" w:themeColor="text1"/>
        </w:rPr>
        <w:t xml:space="preserve">. Zutphen, uitgeverij Paris. </w:t>
      </w:r>
    </w:p>
    <w:p w14:paraId="6C8A25D9" w14:textId="77777777" w:rsidR="00AC5646" w:rsidRDefault="00AC5646">
      <w:pPr>
        <w:rPr>
          <w:color w:val="000000" w:themeColor="text1"/>
        </w:rPr>
      </w:pPr>
    </w:p>
    <w:p w14:paraId="0ADAE0D5" w14:textId="5FE6B59E" w:rsidR="00AC5646" w:rsidRDefault="00AC5646">
      <w:pPr>
        <w:rPr>
          <w:color w:val="000000" w:themeColor="text1"/>
        </w:rPr>
      </w:pPr>
      <w:r>
        <w:rPr>
          <w:color w:val="000000" w:themeColor="text1"/>
        </w:rPr>
        <w:t xml:space="preserve">De Nederlandsche Bank (2016). </w:t>
      </w:r>
      <w:r w:rsidRPr="00AC5646">
        <w:rPr>
          <w:i/>
          <w:color w:val="000000" w:themeColor="text1"/>
        </w:rPr>
        <w:t>ZBO-verantwoording 2015</w:t>
      </w:r>
      <w:r>
        <w:rPr>
          <w:color w:val="000000" w:themeColor="text1"/>
        </w:rPr>
        <w:t xml:space="preserve">. Amsterdam: DNB. </w:t>
      </w:r>
    </w:p>
    <w:p w14:paraId="2B3B9B97" w14:textId="77777777" w:rsidR="00FF695B" w:rsidRDefault="00FF695B">
      <w:pPr>
        <w:rPr>
          <w:color w:val="000000" w:themeColor="text1"/>
        </w:rPr>
      </w:pPr>
    </w:p>
    <w:p w14:paraId="34AC6A52" w14:textId="24A364DE" w:rsidR="00656B1F" w:rsidRDefault="0078099B">
      <w:pPr>
        <w:rPr>
          <w:color w:val="000000" w:themeColor="text1"/>
        </w:rPr>
      </w:pPr>
      <w:r>
        <w:rPr>
          <w:color w:val="000000" w:themeColor="text1"/>
        </w:rPr>
        <w:t xml:space="preserve">Es, A.J. van &amp; Kraaijeveld, R.P.A. (2016). De introductie van de </w:t>
      </w:r>
      <w:proofErr w:type="spellStart"/>
      <w:r>
        <w:rPr>
          <w:color w:val="000000" w:themeColor="text1"/>
        </w:rPr>
        <w:t>omzetgerelateerde</w:t>
      </w:r>
      <w:proofErr w:type="spellEnd"/>
      <w:r>
        <w:rPr>
          <w:color w:val="000000" w:themeColor="text1"/>
        </w:rPr>
        <w:t xml:space="preserve"> boete. Hoe nu verder? </w:t>
      </w:r>
      <w:r w:rsidRPr="0078099B">
        <w:rPr>
          <w:i/>
          <w:color w:val="000000" w:themeColor="text1"/>
        </w:rPr>
        <w:t>Tijdschrift voor Sanctierecht &amp; Onderneming</w:t>
      </w:r>
      <w:r>
        <w:rPr>
          <w:color w:val="000000" w:themeColor="text1"/>
        </w:rPr>
        <w:t>, 2016/4, p. 137-146.</w:t>
      </w:r>
    </w:p>
    <w:p w14:paraId="23D74C63" w14:textId="77777777" w:rsidR="00F74B00" w:rsidRDefault="00F74B00">
      <w:pPr>
        <w:rPr>
          <w:color w:val="000000" w:themeColor="text1"/>
        </w:rPr>
      </w:pPr>
    </w:p>
    <w:p w14:paraId="159A4297" w14:textId="76DD90F8" w:rsidR="00F74B00" w:rsidRDefault="00F74B00">
      <w:pPr>
        <w:rPr>
          <w:color w:val="000000" w:themeColor="text1"/>
        </w:rPr>
      </w:pPr>
      <w:r>
        <w:rPr>
          <w:color w:val="000000" w:themeColor="text1"/>
        </w:rPr>
        <w:t xml:space="preserve">Huisman, W. (2001). Tussen winst en moraal. </w:t>
      </w:r>
      <w:r w:rsidRPr="00F74B00">
        <w:rPr>
          <w:i/>
          <w:color w:val="000000" w:themeColor="text1"/>
        </w:rPr>
        <w:t xml:space="preserve">Achtergronden van regelnaleving en regelovertreding door ondernemingen </w:t>
      </w:r>
      <w:r>
        <w:rPr>
          <w:color w:val="000000" w:themeColor="text1"/>
        </w:rPr>
        <w:t>(dissertatie). Den Haag: Boom Juridische Uitgevers.</w:t>
      </w:r>
    </w:p>
    <w:p w14:paraId="1536DE06" w14:textId="77777777" w:rsidR="0063548A" w:rsidRDefault="0063548A">
      <w:pPr>
        <w:rPr>
          <w:color w:val="000000" w:themeColor="text1"/>
        </w:rPr>
      </w:pPr>
    </w:p>
    <w:p w14:paraId="74F03730" w14:textId="3998F929" w:rsidR="0063548A" w:rsidRDefault="0063548A">
      <w:pPr>
        <w:rPr>
          <w:color w:val="000000" w:themeColor="text1"/>
        </w:rPr>
      </w:pPr>
      <w:r>
        <w:rPr>
          <w:color w:val="000000" w:themeColor="text1"/>
        </w:rPr>
        <w:t>Huisman W. (2016). Een ‘</w:t>
      </w:r>
      <w:proofErr w:type="spellStart"/>
      <w:r>
        <w:rPr>
          <w:color w:val="000000" w:themeColor="text1"/>
        </w:rPr>
        <w:t>punitive</w:t>
      </w:r>
      <w:proofErr w:type="spellEnd"/>
      <w:r>
        <w:rPr>
          <w:color w:val="000000" w:themeColor="text1"/>
        </w:rPr>
        <w:t xml:space="preserve"> turn’ bij de aanpak van financieel-economische criminaliteit? </w:t>
      </w:r>
      <w:r w:rsidRPr="003C59EB">
        <w:rPr>
          <w:i/>
          <w:color w:val="000000" w:themeColor="text1"/>
        </w:rPr>
        <w:t>T</w:t>
      </w:r>
      <w:r w:rsidR="003C59EB">
        <w:rPr>
          <w:i/>
          <w:color w:val="000000" w:themeColor="text1"/>
        </w:rPr>
        <w:t>ijdschrift voor B</w:t>
      </w:r>
      <w:r w:rsidRPr="003C59EB">
        <w:rPr>
          <w:i/>
          <w:color w:val="000000" w:themeColor="text1"/>
        </w:rPr>
        <w:t xml:space="preserve">ijzonder </w:t>
      </w:r>
      <w:r w:rsidR="003C59EB">
        <w:rPr>
          <w:i/>
          <w:color w:val="000000" w:themeColor="text1"/>
        </w:rPr>
        <w:t>Strafrecht en H</w:t>
      </w:r>
      <w:r w:rsidRPr="003C59EB">
        <w:rPr>
          <w:i/>
          <w:color w:val="000000" w:themeColor="text1"/>
        </w:rPr>
        <w:t>andhaving</w:t>
      </w:r>
      <w:r>
        <w:rPr>
          <w:color w:val="000000" w:themeColor="text1"/>
        </w:rPr>
        <w:t xml:space="preserve">, 2016/4, p. </w:t>
      </w:r>
      <w:r w:rsidR="003C59EB" w:rsidRPr="003C59EB">
        <w:rPr>
          <w:color w:val="FF0000"/>
        </w:rPr>
        <w:t>*-*</w:t>
      </w:r>
      <w:r w:rsidR="003C59EB">
        <w:rPr>
          <w:color w:val="FF0000"/>
        </w:rPr>
        <w:t>.</w:t>
      </w:r>
    </w:p>
    <w:p w14:paraId="1A355E5B" w14:textId="77777777" w:rsidR="007A1842" w:rsidRDefault="007A1842">
      <w:pPr>
        <w:rPr>
          <w:color w:val="000000" w:themeColor="text1"/>
        </w:rPr>
      </w:pPr>
    </w:p>
    <w:p w14:paraId="3FA4D07A" w14:textId="2D80668E" w:rsidR="00B8358C" w:rsidRDefault="00B8358C">
      <w:pPr>
        <w:rPr>
          <w:color w:val="000000" w:themeColor="text1"/>
        </w:rPr>
      </w:pPr>
      <w:r>
        <w:rPr>
          <w:color w:val="000000" w:themeColor="text1"/>
        </w:rPr>
        <w:t xml:space="preserve">Mein, A.G. (2015). De boete uit balans. </w:t>
      </w:r>
      <w:r w:rsidRPr="00B8358C">
        <w:rPr>
          <w:i/>
          <w:color w:val="000000" w:themeColor="text1"/>
        </w:rPr>
        <w:t>Het gebruik van de bestuurlijke boete in de praktijk van het financieel toezicht</w:t>
      </w:r>
      <w:r>
        <w:rPr>
          <w:color w:val="000000" w:themeColor="text1"/>
        </w:rPr>
        <w:t xml:space="preserve"> (dissertatie). Den Haag: Boom Lemma Uitgevers. </w:t>
      </w:r>
    </w:p>
    <w:p w14:paraId="604C1EDB" w14:textId="77777777" w:rsidR="00F515BA" w:rsidRDefault="00F515BA">
      <w:pPr>
        <w:rPr>
          <w:color w:val="000000" w:themeColor="text1"/>
        </w:rPr>
      </w:pPr>
    </w:p>
    <w:p w14:paraId="63489B36" w14:textId="65D4A0E5" w:rsidR="00F515BA" w:rsidRDefault="00F515BA" w:rsidP="007B32E6">
      <w:pPr>
        <w:pStyle w:val="FootnoteText"/>
        <w:rPr>
          <w:color w:val="000000" w:themeColor="text1"/>
        </w:rPr>
      </w:pPr>
      <w:r w:rsidRPr="006D5A3B">
        <w:rPr>
          <w:color w:val="000000" w:themeColor="text1"/>
        </w:rPr>
        <w:t xml:space="preserve">Mein, A.G. (2015). Van licht naar zwaar, de evolutie van de bestuurlijke boete in het financieel toezicht. </w:t>
      </w:r>
      <w:r w:rsidRPr="006D5A3B">
        <w:rPr>
          <w:i/>
          <w:color w:val="000000" w:themeColor="text1"/>
        </w:rPr>
        <w:t>Tijdschrift voor Sanctierecht &amp; Onderneming</w:t>
      </w:r>
      <w:r w:rsidRPr="006D5A3B">
        <w:rPr>
          <w:color w:val="000000" w:themeColor="text1"/>
        </w:rPr>
        <w:t>, 2015-5/6, p. 257-262.</w:t>
      </w:r>
    </w:p>
    <w:p w14:paraId="3B6227FC" w14:textId="77777777" w:rsidR="00B8358C" w:rsidRDefault="00B8358C" w:rsidP="00B8358C">
      <w:pPr>
        <w:rPr>
          <w:color w:val="000000" w:themeColor="text1"/>
        </w:rPr>
      </w:pPr>
    </w:p>
    <w:p w14:paraId="6F02040C" w14:textId="77777777" w:rsidR="00B8358C" w:rsidRDefault="00B8358C" w:rsidP="00B8358C">
      <w:pPr>
        <w:rPr>
          <w:color w:val="000000" w:themeColor="text1"/>
        </w:rPr>
      </w:pPr>
      <w:r>
        <w:rPr>
          <w:color w:val="000000" w:themeColor="text1"/>
        </w:rPr>
        <w:t xml:space="preserve">Mein, A.G. &amp; </w:t>
      </w:r>
      <w:proofErr w:type="spellStart"/>
      <w:r>
        <w:rPr>
          <w:color w:val="000000" w:themeColor="text1"/>
        </w:rPr>
        <w:t>Doets</w:t>
      </w:r>
      <w:proofErr w:type="spellEnd"/>
      <w:r>
        <w:rPr>
          <w:color w:val="000000" w:themeColor="text1"/>
        </w:rPr>
        <w:t xml:space="preserve">, C.A. (2016). Hogere boetes, omdat het kan… </w:t>
      </w:r>
      <w:r w:rsidRPr="007A1842">
        <w:rPr>
          <w:i/>
          <w:color w:val="000000" w:themeColor="text1"/>
        </w:rPr>
        <w:t>Tijdschrift voor Financieel Recht</w:t>
      </w:r>
      <w:r>
        <w:rPr>
          <w:color w:val="000000" w:themeColor="text1"/>
        </w:rPr>
        <w:t>, 2016-7/8, p. 303-305.</w:t>
      </w:r>
    </w:p>
    <w:p w14:paraId="292D676E" w14:textId="77777777" w:rsidR="007B32E6" w:rsidRDefault="007B32E6" w:rsidP="007B32E6">
      <w:pPr>
        <w:pStyle w:val="FootnoteText"/>
        <w:rPr>
          <w:color w:val="000000" w:themeColor="text1"/>
        </w:rPr>
      </w:pPr>
    </w:p>
    <w:p w14:paraId="4DE5B290" w14:textId="794D714C" w:rsidR="007B32E6" w:rsidRDefault="007B32E6" w:rsidP="007B32E6">
      <w:pPr>
        <w:pStyle w:val="FootnoteText"/>
        <w:rPr>
          <w:color w:val="000000" w:themeColor="text1"/>
        </w:rPr>
      </w:pPr>
      <w:r>
        <w:rPr>
          <w:color w:val="000000" w:themeColor="text1"/>
        </w:rPr>
        <w:t xml:space="preserve">Raad van State (2015). </w:t>
      </w:r>
      <w:r w:rsidRPr="007B32E6">
        <w:rPr>
          <w:i/>
          <w:color w:val="000000" w:themeColor="text1"/>
        </w:rPr>
        <w:t>Analyse van enige verschillen in rechtsbescherming en rechtspositie van de justitiabele in het strafrecht en in het bestuursrecht</w:t>
      </w:r>
      <w:r>
        <w:rPr>
          <w:color w:val="000000" w:themeColor="text1"/>
        </w:rPr>
        <w:t>. Advies W03.15.0138/II. Den Haag: Raad van State.</w:t>
      </w:r>
    </w:p>
    <w:p w14:paraId="28F33246" w14:textId="77777777" w:rsidR="00265009" w:rsidRDefault="00265009" w:rsidP="007B32E6">
      <w:pPr>
        <w:pStyle w:val="FootnoteText"/>
        <w:rPr>
          <w:color w:val="000000" w:themeColor="text1"/>
        </w:rPr>
      </w:pPr>
    </w:p>
    <w:p w14:paraId="665B93A6" w14:textId="1885861A" w:rsidR="00265009" w:rsidRPr="00265009" w:rsidRDefault="00265009" w:rsidP="00265009">
      <w:pPr>
        <w:pStyle w:val="FootnoteText"/>
      </w:pPr>
      <w:r w:rsidRPr="00265009">
        <w:t>Roth, G.P. De Familie WC-Eend en het nieuwe boete-</w:t>
      </w:r>
      <w:r>
        <w:t xml:space="preserve"> en publicatieregime van de </w:t>
      </w:r>
      <w:proofErr w:type="spellStart"/>
      <w:r>
        <w:t>Wft</w:t>
      </w:r>
      <w:proofErr w:type="spellEnd"/>
      <w:r>
        <w:t>.</w:t>
      </w:r>
      <w:r w:rsidRPr="00265009">
        <w:t xml:space="preserve"> </w:t>
      </w:r>
      <w:r w:rsidRPr="00265009">
        <w:rPr>
          <w:i/>
        </w:rPr>
        <w:t>Tijdschrift voor Sanctierecht &amp; Onderneming</w:t>
      </w:r>
      <w:r w:rsidRPr="00265009">
        <w:t>, 2016/4, p. 160-162.</w:t>
      </w:r>
    </w:p>
    <w:p w14:paraId="4FB50782" w14:textId="490F5E80" w:rsidR="00694E44" w:rsidRPr="00E8655D" w:rsidRDefault="00694E44">
      <w:pPr>
        <w:rPr>
          <w:color w:val="000000" w:themeColor="text1"/>
        </w:rPr>
      </w:pPr>
      <w:r>
        <w:rPr>
          <w:color w:val="000000" w:themeColor="text1"/>
        </w:rPr>
        <w:lastRenderedPageBreak/>
        <w:t xml:space="preserve">Veldhoven, B. </w:t>
      </w:r>
      <w:r w:rsidR="007B32E6">
        <w:rPr>
          <w:color w:val="000000" w:themeColor="text1"/>
        </w:rPr>
        <w:t>van</w:t>
      </w:r>
      <w:r>
        <w:rPr>
          <w:color w:val="000000" w:themeColor="text1"/>
        </w:rPr>
        <w:t xml:space="preserve"> </w:t>
      </w:r>
      <w:r w:rsidRPr="00E8655D">
        <w:rPr>
          <w:color w:val="000000" w:themeColor="text1"/>
        </w:rPr>
        <w:t xml:space="preserve">&amp; </w:t>
      </w:r>
      <w:proofErr w:type="spellStart"/>
      <w:r w:rsidRPr="00E8655D">
        <w:rPr>
          <w:color w:val="000000" w:themeColor="text1"/>
        </w:rPr>
        <w:t>Wijck</w:t>
      </w:r>
      <w:proofErr w:type="spellEnd"/>
      <w:r w:rsidRPr="00E8655D">
        <w:rPr>
          <w:color w:val="000000" w:themeColor="text1"/>
        </w:rPr>
        <w:t xml:space="preserve">, P. van (2016). </w:t>
      </w:r>
      <w:r w:rsidRPr="00DF778D">
        <w:rPr>
          <w:color w:val="000000" w:themeColor="text1"/>
          <w:lang w:val="en-US"/>
        </w:rPr>
        <w:t xml:space="preserve">Becker’s theory on crime and punishment, a useful guide for law enforcement policy </w:t>
      </w:r>
      <w:r w:rsidRPr="00694E44">
        <w:rPr>
          <w:color w:val="000000" w:themeColor="text1"/>
          <w:lang w:val="en-US"/>
        </w:rPr>
        <w:t xml:space="preserve">in the Netherlands. </w:t>
      </w:r>
      <w:r w:rsidRPr="00E8655D">
        <w:rPr>
          <w:i/>
          <w:color w:val="000000" w:themeColor="text1"/>
        </w:rPr>
        <w:t>Recht der Werkelijkheid</w:t>
      </w:r>
      <w:r w:rsidRPr="00E8655D">
        <w:rPr>
          <w:color w:val="000000" w:themeColor="text1"/>
        </w:rPr>
        <w:t>, 2016/1, p. 6-31.</w:t>
      </w:r>
    </w:p>
    <w:p w14:paraId="6EEDF412" w14:textId="77777777" w:rsidR="00694E44" w:rsidRPr="00E8655D" w:rsidRDefault="00694E44">
      <w:pPr>
        <w:rPr>
          <w:color w:val="000000" w:themeColor="text1"/>
        </w:rPr>
      </w:pPr>
    </w:p>
    <w:p w14:paraId="1BDC75B8" w14:textId="72A92077" w:rsidR="00B61203" w:rsidRPr="00DE52EF" w:rsidRDefault="00B61203">
      <w:pPr>
        <w:rPr>
          <w:color w:val="000000" w:themeColor="text1"/>
          <w:lang w:val="en-US"/>
        </w:rPr>
      </w:pPr>
      <w:proofErr w:type="spellStart"/>
      <w:r w:rsidRPr="00E8655D">
        <w:rPr>
          <w:color w:val="000000" w:themeColor="text1"/>
        </w:rPr>
        <w:t>Wingerde</w:t>
      </w:r>
      <w:proofErr w:type="spellEnd"/>
      <w:r w:rsidRPr="00E8655D">
        <w:rPr>
          <w:color w:val="000000" w:themeColor="text1"/>
        </w:rPr>
        <w:t xml:space="preserve">, C.G. van (2012). </w:t>
      </w:r>
      <w:r w:rsidRPr="00E8655D">
        <w:rPr>
          <w:i/>
          <w:color w:val="000000" w:themeColor="text1"/>
        </w:rPr>
        <w:t>De afschrikk</w:t>
      </w:r>
      <w:r w:rsidRPr="00B61203">
        <w:rPr>
          <w:i/>
          <w:color w:val="000000" w:themeColor="text1"/>
        </w:rPr>
        <w:t>ing voorbij. Een empirische studie naar afschrikking, generale preventie en regelnaleving in de Nederlandse afvalbranche</w:t>
      </w:r>
      <w:r>
        <w:rPr>
          <w:color w:val="000000" w:themeColor="text1"/>
        </w:rPr>
        <w:t xml:space="preserve"> (dissertatie). </w:t>
      </w:r>
      <w:r w:rsidRPr="00DE52EF">
        <w:rPr>
          <w:color w:val="000000" w:themeColor="text1"/>
          <w:lang w:val="en-US"/>
        </w:rPr>
        <w:t xml:space="preserve">Nijmegen: Wolf Legal Publishers. </w:t>
      </w:r>
    </w:p>
    <w:p w14:paraId="4464732A" w14:textId="77777777" w:rsidR="006F0AC8" w:rsidRPr="00DE52EF" w:rsidRDefault="006F0AC8">
      <w:pPr>
        <w:rPr>
          <w:color w:val="000000" w:themeColor="text1"/>
          <w:lang w:val="en-US"/>
        </w:rPr>
      </w:pPr>
    </w:p>
    <w:p w14:paraId="5CA2F1F1" w14:textId="2E405289" w:rsidR="006F0AC8" w:rsidRPr="006F0AC8" w:rsidRDefault="006F0AC8">
      <w:pPr>
        <w:rPr>
          <w:color w:val="000000" w:themeColor="text1"/>
          <w:lang w:val="en-US"/>
        </w:rPr>
      </w:pPr>
      <w:r w:rsidRPr="006F0AC8">
        <w:rPr>
          <w:color w:val="000000" w:themeColor="text1"/>
          <w:lang w:val="en-US"/>
        </w:rPr>
        <w:t xml:space="preserve">Simpson, S., </w:t>
      </w:r>
      <w:proofErr w:type="spellStart"/>
      <w:r w:rsidRPr="006F0AC8">
        <w:rPr>
          <w:color w:val="000000" w:themeColor="text1"/>
          <w:lang w:val="en-US"/>
        </w:rPr>
        <w:t>Rorie</w:t>
      </w:r>
      <w:proofErr w:type="spellEnd"/>
      <w:r w:rsidRPr="006F0AC8">
        <w:rPr>
          <w:color w:val="000000" w:themeColor="text1"/>
          <w:lang w:val="en-US"/>
        </w:rPr>
        <w:t xml:space="preserve">, M., </w:t>
      </w:r>
      <w:proofErr w:type="spellStart"/>
      <w:r w:rsidRPr="006F0AC8">
        <w:rPr>
          <w:color w:val="000000" w:themeColor="text1"/>
          <w:lang w:val="en-US"/>
        </w:rPr>
        <w:t>Alper</w:t>
      </w:r>
      <w:proofErr w:type="spellEnd"/>
      <w:r w:rsidRPr="006F0AC8">
        <w:rPr>
          <w:color w:val="000000" w:themeColor="text1"/>
          <w:lang w:val="en-US"/>
        </w:rPr>
        <w:t xml:space="preserve">, N. </w:t>
      </w:r>
      <w:r>
        <w:rPr>
          <w:color w:val="000000" w:themeColor="text1"/>
          <w:lang w:val="en-US"/>
        </w:rPr>
        <w:t>&amp; Schell-</w:t>
      </w:r>
      <w:proofErr w:type="spellStart"/>
      <w:r>
        <w:rPr>
          <w:color w:val="000000" w:themeColor="text1"/>
          <w:lang w:val="en-US"/>
        </w:rPr>
        <w:t>Busey</w:t>
      </w:r>
      <w:proofErr w:type="spellEnd"/>
      <w:r>
        <w:rPr>
          <w:color w:val="000000" w:themeColor="text1"/>
          <w:lang w:val="en-US"/>
        </w:rPr>
        <w:t xml:space="preserve">, N. (2014). </w:t>
      </w:r>
      <w:r w:rsidRPr="006F0AC8">
        <w:rPr>
          <w:i/>
          <w:color w:val="000000" w:themeColor="text1"/>
          <w:lang w:val="en-US"/>
        </w:rPr>
        <w:t>Corporate Crime Deterrence: A Systematic Review</w:t>
      </w:r>
      <w:r>
        <w:rPr>
          <w:color w:val="000000" w:themeColor="text1"/>
          <w:lang w:val="en-US"/>
        </w:rPr>
        <w:t>. Campbell Systematic Reviews 2014/4.</w:t>
      </w:r>
    </w:p>
    <w:sectPr w:rsidR="006F0AC8" w:rsidRPr="006F0AC8" w:rsidSect="00CD1305">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0184B" w14:textId="77777777" w:rsidR="00D9413F" w:rsidRDefault="00D9413F" w:rsidP="006C4789">
      <w:r>
        <w:separator/>
      </w:r>
    </w:p>
  </w:endnote>
  <w:endnote w:type="continuationSeparator" w:id="0">
    <w:p w14:paraId="2ED81BBB" w14:textId="77777777" w:rsidR="00D9413F" w:rsidRDefault="00D9413F" w:rsidP="006C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6FDE" w14:textId="77777777" w:rsidR="00ED41BB" w:rsidRDefault="00ED41BB" w:rsidP="00477A1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B47A6" w14:textId="77777777" w:rsidR="00ED41BB" w:rsidRDefault="00ED41BB" w:rsidP="00ED41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EEEFB" w14:textId="77777777" w:rsidR="00ED41BB" w:rsidRDefault="00ED41BB" w:rsidP="00ED41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B76DB" w14:textId="77777777" w:rsidR="00D9413F" w:rsidRDefault="00D9413F" w:rsidP="006C4789">
      <w:r>
        <w:separator/>
      </w:r>
    </w:p>
  </w:footnote>
  <w:footnote w:type="continuationSeparator" w:id="0">
    <w:p w14:paraId="6AFD4B7E" w14:textId="77777777" w:rsidR="00D9413F" w:rsidRDefault="00D9413F" w:rsidP="006C4789">
      <w:r>
        <w:continuationSeparator/>
      </w:r>
    </w:p>
  </w:footnote>
  <w:footnote w:id="1">
    <w:p w14:paraId="7D9D9C9E" w14:textId="5EFF45C8" w:rsidR="00405148" w:rsidRPr="00405148" w:rsidRDefault="00405148">
      <w:pPr>
        <w:pStyle w:val="FootnoteText"/>
        <w:rPr>
          <w:sz w:val="20"/>
          <w:szCs w:val="20"/>
        </w:rPr>
      </w:pPr>
      <w:r w:rsidRPr="00405148">
        <w:rPr>
          <w:rStyle w:val="FootnoteReference"/>
          <w:sz w:val="20"/>
          <w:szCs w:val="20"/>
        </w:rPr>
        <w:footnoteRef/>
      </w:r>
      <w:r w:rsidRPr="00405148">
        <w:rPr>
          <w:sz w:val="20"/>
          <w:szCs w:val="20"/>
        </w:rPr>
        <w:t xml:space="preserve"> Mr. dr. A.G. Mein is als lector Legal Management verbonden aan de Hogeschool van Amsterdam.</w:t>
      </w:r>
      <w:r w:rsidR="00735553" w:rsidRPr="00735553">
        <w:rPr>
          <w:sz w:val="20"/>
          <w:szCs w:val="20"/>
        </w:rPr>
        <w:t xml:space="preserve"> </w:t>
      </w:r>
      <w:r w:rsidR="00735553">
        <w:rPr>
          <w:sz w:val="20"/>
          <w:szCs w:val="20"/>
        </w:rPr>
        <w:t xml:space="preserve">Met dank aan de referenten en mr. H. van Es van de AFM voor hun commentaar op een eerdere versie van dit hoofdstuk. </w:t>
      </w:r>
    </w:p>
  </w:footnote>
  <w:footnote w:id="2">
    <w:p w14:paraId="5044EFE4" w14:textId="77777777" w:rsidR="006C4789" w:rsidRPr="00405148" w:rsidRDefault="006C4789">
      <w:pPr>
        <w:pStyle w:val="FootnoteText"/>
        <w:rPr>
          <w:sz w:val="20"/>
          <w:szCs w:val="20"/>
        </w:rPr>
      </w:pPr>
      <w:r w:rsidRPr="00405148">
        <w:rPr>
          <w:rStyle w:val="FootnoteReference"/>
          <w:sz w:val="20"/>
          <w:szCs w:val="20"/>
        </w:rPr>
        <w:footnoteRef/>
      </w:r>
      <w:r w:rsidRPr="00405148">
        <w:rPr>
          <w:sz w:val="20"/>
          <w:szCs w:val="20"/>
        </w:rPr>
        <w:t xml:space="preserve"> Zie www.rijksoverheid.nl</w:t>
      </w:r>
      <w:r w:rsidR="008211FF" w:rsidRPr="00405148">
        <w:rPr>
          <w:sz w:val="20"/>
          <w:szCs w:val="20"/>
        </w:rPr>
        <w:t>/actueel/nieuws.</w:t>
      </w:r>
    </w:p>
  </w:footnote>
  <w:footnote w:id="3">
    <w:p w14:paraId="2F24C251" w14:textId="77777777" w:rsidR="00F24B04" w:rsidRPr="00405148" w:rsidRDefault="00F24B04" w:rsidP="00F24B04">
      <w:pPr>
        <w:pStyle w:val="FootnoteText"/>
        <w:rPr>
          <w:sz w:val="20"/>
          <w:szCs w:val="20"/>
        </w:rPr>
      </w:pPr>
      <w:r w:rsidRPr="00405148">
        <w:rPr>
          <w:rStyle w:val="FootnoteReference"/>
          <w:sz w:val="20"/>
          <w:szCs w:val="20"/>
        </w:rPr>
        <w:footnoteRef/>
      </w:r>
      <w:r w:rsidRPr="00405148">
        <w:rPr>
          <w:sz w:val="20"/>
          <w:szCs w:val="20"/>
        </w:rPr>
        <w:t xml:space="preserve"> </w:t>
      </w:r>
      <w:r w:rsidRPr="00405148">
        <w:rPr>
          <w:i/>
          <w:sz w:val="20"/>
          <w:szCs w:val="20"/>
        </w:rPr>
        <w:t>Kamerstukken II</w:t>
      </w:r>
      <w:r w:rsidRPr="00405148">
        <w:rPr>
          <w:sz w:val="20"/>
          <w:szCs w:val="20"/>
        </w:rPr>
        <w:t xml:space="preserve">, 2015-16, 34 455, 1-3. </w:t>
      </w:r>
    </w:p>
  </w:footnote>
  <w:footnote w:id="4">
    <w:p w14:paraId="0A522C81" w14:textId="0A2ECA47" w:rsidR="007E2F58" w:rsidRPr="00405148" w:rsidRDefault="007E2F58">
      <w:pPr>
        <w:pStyle w:val="FootnoteText"/>
        <w:rPr>
          <w:sz w:val="20"/>
          <w:szCs w:val="20"/>
        </w:rPr>
      </w:pPr>
      <w:r w:rsidRPr="00405148">
        <w:rPr>
          <w:rStyle w:val="FootnoteReference"/>
          <w:sz w:val="20"/>
          <w:szCs w:val="20"/>
        </w:rPr>
        <w:footnoteRef/>
      </w:r>
      <w:r w:rsidRPr="00405148">
        <w:rPr>
          <w:sz w:val="20"/>
          <w:szCs w:val="20"/>
        </w:rPr>
        <w:t xml:space="preserve"> </w:t>
      </w:r>
      <w:r w:rsidRPr="00405148">
        <w:rPr>
          <w:i/>
          <w:sz w:val="20"/>
          <w:szCs w:val="20"/>
        </w:rPr>
        <w:t xml:space="preserve">Stb. </w:t>
      </w:r>
      <w:r w:rsidRPr="00405148">
        <w:rPr>
          <w:sz w:val="20"/>
          <w:szCs w:val="20"/>
        </w:rPr>
        <w:t xml:space="preserve">2016, 297. </w:t>
      </w:r>
    </w:p>
  </w:footnote>
  <w:footnote w:id="5">
    <w:p w14:paraId="2292E058" w14:textId="3619BC9E" w:rsidR="007F45C7" w:rsidRPr="00A61318" w:rsidRDefault="007F45C7">
      <w:pPr>
        <w:pStyle w:val="FootnoteText"/>
        <w:rPr>
          <w:sz w:val="20"/>
          <w:szCs w:val="20"/>
        </w:rPr>
      </w:pPr>
      <w:r w:rsidRPr="00A61318">
        <w:rPr>
          <w:rStyle w:val="FootnoteReference"/>
          <w:sz w:val="20"/>
          <w:szCs w:val="20"/>
        </w:rPr>
        <w:footnoteRef/>
      </w:r>
      <w:r w:rsidRPr="00A61318">
        <w:rPr>
          <w:sz w:val="20"/>
          <w:szCs w:val="20"/>
        </w:rPr>
        <w:t xml:space="preserve"> </w:t>
      </w:r>
      <w:r w:rsidR="00C6720D" w:rsidRPr="00A61318">
        <w:rPr>
          <w:rFonts w:cs="Arial"/>
          <w:sz w:val="20"/>
          <w:szCs w:val="20"/>
        </w:rPr>
        <w:t xml:space="preserve">Dat was overigens ook al het geval met de eerdere verhoging in 2009. </w:t>
      </w:r>
      <w:r w:rsidRPr="00A61318">
        <w:rPr>
          <w:sz w:val="20"/>
          <w:szCs w:val="20"/>
        </w:rPr>
        <w:t>Toen werd het maximum nota bene bij amendement verhoogd van 2 naar 4 miljoen</w:t>
      </w:r>
      <w:r w:rsidR="008D0ADC" w:rsidRPr="00A61318">
        <w:rPr>
          <w:sz w:val="20"/>
          <w:szCs w:val="20"/>
        </w:rPr>
        <w:t xml:space="preserve">, </w:t>
      </w:r>
      <w:r w:rsidR="00DB15DC" w:rsidRPr="00A61318">
        <w:rPr>
          <w:sz w:val="20"/>
          <w:szCs w:val="20"/>
        </w:rPr>
        <w:t xml:space="preserve">vgl. </w:t>
      </w:r>
      <w:r w:rsidR="008D0ADC" w:rsidRPr="00A61318">
        <w:rPr>
          <w:i/>
          <w:sz w:val="20"/>
          <w:szCs w:val="20"/>
        </w:rPr>
        <w:t>Kamerstukken II</w:t>
      </w:r>
      <w:r w:rsidR="008D0ADC" w:rsidRPr="00A61318">
        <w:rPr>
          <w:sz w:val="20"/>
          <w:szCs w:val="20"/>
        </w:rPr>
        <w:t>, 2008/09, 31 458</w:t>
      </w:r>
      <w:r w:rsidR="00DB15DC" w:rsidRPr="00A61318">
        <w:rPr>
          <w:sz w:val="20"/>
          <w:szCs w:val="20"/>
        </w:rPr>
        <w:t xml:space="preserve">, 10, 15 en 16. </w:t>
      </w:r>
    </w:p>
  </w:footnote>
  <w:footnote w:id="6">
    <w:p w14:paraId="30DEDFF2" w14:textId="3D98AD5E" w:rsidR="00E21D2F" w:rsidRPr="00A61318" w:rsidRDefault="00E21D2F">
      <w:pPr>
        <w:pStyle w:val="FootnoteText"/>
        <w:rPr>
          <w:sz w:val="20"/>
          <w:szCs w:val="20"/>
        </w:rPr>
      </w:pPr>
      <w:r w:rsidRPr="00A61318">
        <w:rPr>
          <w:rStyle w:val="FootnoteReference"/>
          <w:sz w:val="20"/>
          <w:szCs w:val="20"/>
        </w:rPr>
        <w:footnoteRef/>
      </w:r>
      <w:r w:rsidRPr="00A61318">
        <w:rPr>
          <w:sz w:val="20"/>
          <w:szCs w:val="20"/>
        </w:rPr>
        <w:t xml:space="preserve"> Ik heb </w:t>
      </w:r>
      <w:r w:rsidR="00457E83">
        <w:rPr>
          <w:sz w:val="20"/>
          <w:szCs w:val="20"/>
        </w:rPr>
        <w:t xml:space="preserve">afzonderlijk </w:t>
      </w:r>
      <w:r w:rsidRPr="00A61318">
        <w:rPr>
          <w:sz w:val="20"/>
          <w:szCs w:val="20"/>
        </w:rPr>
        <w:t xml:space="preserve">gesproken met de Tweede Kamerleden </w:t>
      </w:r>
      <w:proofErr w:type="spellStart"/>
      <w:r w:rsidRPr="00A61318">
        <w:rPr>
          <w:sz w:val="20"/>
          <w:szCs w:val="20"/>
        </w:rPr>
        <w:t>Me</w:t>
      </w:r>
      <w:r w:rsidR="00C06384" w:rsidRPr="00A61318">
        <w:rPr>
          <w:sz w:val="20"/>
          <w:szCs w:val="20"/>
        </w:rPr>
        <w:t>rkies</w:t>
      </w:r>
      <w:proofErr w:type="spellEnd"/>
      <w:r w:rsidR="00C06384" w:rsidRPr="00A61318">
        <w:rPr>
          <w:sz w:val="20"/>
          <w:szCs w:val="20"/>
        </w:rPr>
        <w:t xml:space="preserve"> (SP), De Vries (VVD) en </w:t>
      </w:r>
      <w:r w:rsidR="00C643A3" w:rsidRPr="00A61318">
        <w:rPr>
          <w:sz w:val="20"/>
          <w:szCs w:val="20"/>
        </w:rPr>
        <w:t xml:space="preserve">(op persoonlijke titel) </w:t>
      </w:r>
      <w:r w:rsidR="00C06384" w:rsidRPr="00A61318">
        <w:rPr>
          <w:sz w:val="20"/>
          <w:szCs w:val="20"/>
        </w:rPr>
        <w:t>een</w:t>
      </w:r>
      <w:r w:rsidRPr="00A61318">
        <w:rPr>
          <w:sz w:val="20"/>
          <w:szCs w:val="20"/>
        </w:rPr>
        <w:t xml:space="preserve"> medewerker van het lid Nijboer (PvdA). Het lid </w:t>
      </w:r>
      <w:proofErr w:type="spellStart"/>
      <w:r w:rsidRPr="00A61318">
        <w:rPr>
          <w:sz w:val="20"/>
          <w:szCs w:val="20"/>
        </w:rPr>
        <w:t>Ronnes</w:t>
      </w:r>
      <w:proofErr w:type="spellEnd"/>
      <w:r w:rsidRPr="00A61318">
        <w:rPr>
          <w:sz w:val="20"/>
          <w:szCs w:val="20"/>
        </w:rPr>
        <w:t xml:space="preserve"> (CDA) wilde niet meewerk</w:t>
      </w:r>
      <w:r w:rsidR="00C643A3" w:rsidRPr="00A61318">
        <w:rPr>
          <w:sz w:val="20"/>
          <w:szCs w:val="20"/>
        </w:rPr>
        <w:t xml:space="preserve">en aan een vraaggesprek. </w:t>
      </w:r>
      <w:r w:rsidR="00520473">
        <w:rPr>
          <w:sz w:val="20"/>
          <w:szCs w:val="20"/>
        </w:rPr>
        <w:t xml:space="preserve">Andere Kamerleden hebben niet het woord gevoerd. </w:t>
      </w:r>
      <w:r w:rsidR="00C643A3" w:rsidRPr="00A61318">
        <w:rPr>
          <w:sz w:val="20"/>
          <w:szCs w:val="20"/>
        </w:rPr>
        <w:t xml:space="preserve">Van alle </w:t>
      </w:r>
      <w:r w:rsidRPr="00A61318">
        <w:rPr>
          <w:sz w:val="20"/>
          <w:szCs w:val="20"/>
        </w:rPr>
        <w:t xml:space="preserve">vraaggesprekken heb ik een verslag gemaakt, dat ik ter correctie op feitelijke onjuistheden en </w:t>
      </w:r>
      <w:r w:rsidR="007643A4">
        <w:rPr>
          <w:sz w:val="20"/>
          <w:szCs w:val="20"/>
        </w:rPr>
        <w:t xml:space="preserve">eventuele </w:t>
      </w:r>
      <w:r w:rsidRPr="00A61318">
        <w:rPr>
          <w:sz w:val="20"/>
          <w:szCs w:val="20"/>
        </w:rPr>
        <w:t xml:space="preserve">omissies heb voorgelegd. </w:t>
      </w:r>
    </w:p>
  </w:footnote>
  <w:footnote w:id="7">
    <w:p w14:paraId="681319A6" w14:textId="2A696968" w:rsidR="00810218" w:rsidRPr="00810218" w:rsidRDefault="00810218">
      <w:pPr>
        <w:pStyle w:val="FootnoteText"/>
        <w:rPr>
          <w:sz w:val="20"/>
          <w:szCs w:val="20"/>
        </w:rPr>
      </w:pPr>
      <w:r w:rsidRPr="00810218">
        <w:rPr>
          <w:rStyle w:val="FootnoteReference"/>
          <w:sz w:val="20"/>
          <w:szCs w:val="20"/>
        </w:rPr>
        <w:footnoteRef/>
      </w:r>
      <w:r w:rsidRPr="00810218">
        <w:rPr>
          <w:sz w:val="20"/>
          <w:szCs w:val="20"/>
        </w:rPr>
        <w:t xml:space="preserve"> </w:t>
      </w:r>
      <w:r w:rsidR="005D52EE">
        <w:rPr>
          <w:sz w:val="20"/>
          <w:szCs w:val="20"/>
        </w:rPr>
        <w:t xml:space="preserve">Zie </w:t>
      </w:r>
      <w:proofErr w:type="spellStart"/>
      <w:r w:rsidRPr="00810218">
        <w:rPr>
          <w:i/>
          <w:sz w:val="20"/>
          <w:szCs w:val="20"/>
        </w:rPr>
        <w:t>PbEu</w:t>
      </w:r>
      <w:proofErr w:type="spellEnd"/>
      <w:r w:rsidRPr="00810218">
        <w:rPr>
          <w:sz w:val="20"/>
          <w:szCs w:val="20"/>
        </w:rPr>
        <w:t xml:space="preserve"> 2014, L 173.</w:t>
      </w:r>
    </w:p>
  </w:footnote>
  <w:footnote w:id="8">
    <w:p w14:paraId="63800FB7" w14:textId="0CB07A63" w:rsidR="00C77FA8" w:rsidRPr="00C77FA8" w:rsidRDefault="00C77FA8">
      <w:pPr>
        <w:pStyle w:val="FootnoteText"/>
        <w:rPr>
          <w:sz w:val="20"/>
          <w:szCs w:val="20"/>
        </w:rPr>
      </w:pPr>
      <w:r w:rsidRPr="00C77FA8">
        <w:rPr>
          <w:rStyle w:val="FootnoteReference"/>
          <w:sz w:val="20"/>
          <w:szCs w:val="20"/>
        </w:rPr>
        <w:footnoteRef/>
      </w:r>
      <w:r w:rsidRPr="00C77FA8">
        <w:rPr>
          <w:sz w:val="20"/>
          <w:szCs w:val="20"/>
        </w:rPr>
        <w:t xml:space="preserve"> </w:t>
      </w:r>
      <w:r w:rsidR="00CF1725">
        <w:rPr>
          <w:sz w:val="20"/>
          <w:szCs w:val="20"/>
        </w:rPr>
        <w:t xml:space="preserve">Zie </w:t>
      </w:r>
      <w:r w:rsidRPr="00C77FA8">
        <w:rPr>
          <w:i/>
          <w:sz w:val="20"/>
          <w:szCs w:val="20"/>
        </w:rPr>
        <w:t>Kamerstukken II</w:t>
      </w:r>
      <w:r w:rsidR="00064385">
        <w:rPr>
          <w:sz w:val="20"/>
          <w:szCs w:val="20"/>
        </w:rPr>
        <w:t>, 34 455, 3, p. 7</w:t>
      </w:r>
      <w:r w:rsidR="00A13E35">
        <w:rPr>
          <w:sz w:val="20"/>
          <w:szCs w:val="20"/>
        </w:rPr>
        <w:t>-9</w:t>
      </w:r>
      <w:r w:rsidR="00ED673A">
        <w:rPr>
          <w:sz w:val="20"/>
          <w:szCs w:val="20"/>
        </w:rPr>
        <w:t xml:space="preserve"> </w:t>
      </w:r>
      <w:r w:rsidR="007E0F56">
        <w:rPr>
          <w:sz w:val="20"/>
          <w:szCs w:val="20"/>
        </w:rPr>
        <w:t>en 5</w:t>
      </w:r>
      <w:r w:rsidR="00870143">
        <w:rPr>
          <w:sz w:val="20"/>
          <w:szCs w:val="20"/>
        </w:rPr>
        <w:t>, p. 1-2</w:t>
      </w:r>
      <w:r w:rsidR="00ED673A">
        <w:rPr>
          <w:sz w:val="20"/>
          <w:szCs w:val="20"/>
        </w:rPr>
        <w:t xml:space="preserve">. </w:t>
      </w:r>
      <w:r w:rsidR="006B66B8">
        <w:rPr>
          <w:sz w:val="20"/>
          <w:szCs w:val="20"/>
        </w:rPr>
        <w:t xml:space="preserve">Zo bestond ingevolge </w:t>
      </w:r>
      <w:r w:rsidR="00696786">
        <w:rPr>
          <w:sz w:val="20"/>
          <w:szCs w:val="20"/>
        </w:rPr>
        <w:t xml:space="preserve">de Richtlijn Kapitaalsvereisten </w:t>
      </w:r>
      <w:r w:rsidR="00064385">
        <w:rPr>
          <w:sz w:val="20"/>
          <w:szCs w:val="20"/>
        </w:rPr>
        <w:t xml:space="preserve">sinds 1 augustus 2014 </w:t>
      </w:r>
      <w:r w:rsidR="00317008">
        <w:rPr>
          <w:sz w:val="20"/>
          <w:szCs w:val="20"/>
        </w:rPr>
        <w:t xml:space="preserve">al </w:t>
      </w:r>
      <w:r w:rsidR="00064385">
        <w:rPr>
          <w:sz w:val="20"/>
          <w:szCs w:val="20"/>
        </w:rPr>
        <w:t>de mogelijkheid</w:t>
      </w:r>
      <w:r w:rsidR="006B66B8">
        <w:rPr>
          <w:sz w:val="20"/>
          <w:szCs w:val="20"/>
        </w:rPr>
        <w:t xml:space="preserve"> om op basis van</w:t>
      </w:r>
      <w:r w:rsidR="00317008">
        <w:rPr>
          <w:sz w:val="20"/>
          <w:szCs w:val="20"/>
        </w:rPr>
        <w:t xml:space="preserve"> </w:t>
      </w:r>
      <w:r w:rsidR="006B66B8">
        <w:rPr>
          <w:sz w:val="20"/>
          <w:szCs w:val="20"/>
        </w:rPr>
        <w:t xml:space="preserve">art. 1:81, derde lid (oud) van de </w:t>
      </w:r>
      <w:proofErr w:type="spellStart"/>
      <w:r w:rsidR="006B66B8">
        <w:rPr>
          <w:sz w:val="20"/>
          <w:szCs w:val="20"/>
        </w:rPr>
        <w:t>Wft</w:t>
      </w:r>
      <w:proofErr w:type="spellEnd"/>
      <w:r w:rsidR="006B66B8">
        <w:rPr>
          <w:sz w:val="20"/>
          <w:szCs w:val="20"/>
        </w:rPr>
        <w:t xml:space="preserve"> </w:t>
      </w:r>
      <w:r w:rsidR="00064385">
        <w:rPr>
          <w:sz w:val="20"/>
          <w:szCs w:val="20"/>
        </w:rPr>
        <w:t>een maximumboete van 5 miljoen euro o</w:t>
      </w:r>
      <w:r w:rsidR="00317008">
        <w:rPr>
          <w:sz w:val="20"/>
          <w:szCs w:val="20"/>
        </w:rPr>
        <w:t>f een boete van 10% van de jaar</w:t>
      </w:r>
      <w:r w:rsidR="00064385">
        <w:rPr>
          <w:sz w:val="20"/>
          <w:szCs w:val="20"/>
        </w:rPr>
        <w:t>omzet op te le</w:t>
      </w:r>
      <w:r w:rsidR="00317008">
        <w:rPr>
          <w:sz w:val="20"/>
          <w:szCs w:val="20"/>
        </w:rPr>
        <w:t>ggen aan banken en bepaalde beleggingsondernemingen.</w:t>
      </w:r>
    </w:p>
  </w:footnote>
  <w:footnote w:id="9">
    <w:p w14:paraId="5C99DD7F" w14:textId="054C2B66" w:rsidR="00DA0606" w:rsidRPr="00DA0606" w:rsidRDefault="00DA0606">
      <w:pPr>
        <w:pStyle w:val="FootnoteText"/>
        <w:rPr>
          <w:sz w:val="20"/>
          <w:szCs w:val="20"/>
        </w:rPr>
      </w:pPr>
      <w:r w:rsidRPr="00DA0606">
        <w:rPr>
          <w:rStyle w:val="FootnoteReference"/>
          <w:sz w:val="20"/>
          <w:szCs w:val="20"/>
        </w:rPr>
        <w:footnoteRef/>
      </w:r>
      <w:r w:rsidRPr="00DA0606">
        <w:rPr>
          <w:sz w:val="20"/>
          <w:szCs w:val="20"/>
        </w:rPr>
        <w:t xml:space="preserve"> Strikt genomen bevat het wetsvoorstel de mogelijkheid om indien nodig bij AMVB voor bijzondere gevallen de boetehoogte nog verder te verhogen tot tien, vijftien en twintig miljoen euro of 15% van de jaaromzet. </w:t>
      </w:r>
    </w:p>
  </w:footnote>
  <w:footnote w:id="10">
    <w:p w14:paraId="43DF5E6C" w14:textId="345C0AB5" w:rsidR="00637FE8" w:rsidRPr="00637FE8" w:rsidRDefault="00637FE8">
      <w:pPr>
        <w:pStyle w:val="FootnoteText"/>
        <w:rPr>
          <w:sz w:val="20"/>
          <w:szCs w:val="20"/>
        </w:rPr>
      </w:pPr>
      <w:r w:rsidRPr="00637FE8">
        <w:rPr>
          <w:rStyle w:val="FootnoteReference"/>
          <w:sz w:val="20"/>
          <w:szCs w:val="20"/>
        </w:rPr>
        <w:footnoteRef/>
      </w:r>
      <w:r w:rsidRPr="00637FE8">
        <w:rPr>
          <w:sz w:val="20"/>
          <w:szCs w:val="20"/>
        </w:rPr>
        <w:t xml:space="preserve"> Zie artikel 57 van de Mededingingswet en artikel 23, zevende lid, Wetboek van Strafrecht. </w:t>
      </w:r>
    </w:p>
  </w:footnote>
  <w:footnote w:id="11">
    <w:p w14:paraId="754233EF" w14:textId="05513642" w:rsidR="005777FC" w:rsidRPr="0011251B" w:rsidRDefault="005777FC" w:rsidP="005777FC">
      <w:pPr>
        <w:pStyle w:val="FootnoteText"/>
        <w:rPr>
          <w:sz w:val="20"/>
          <w:szCs w:val="20"/>
        </w:rPr>
      </w:pPr>
      <w:r w:rsidRPr="0011251B">
        <w:rPr>
          <w:rStyle w:val="FootnoteReference"/>
          <w:sz w:val="20"/>
          <w:szCs w:val="20"/>
        </w:rPr>
        <w:footnoteRef/>
      </w:r>
      <w:r>
        <w:rPr>
          <w:sz w:val="20"/>
          <w:szCs w:val="20"/>
        </w:rPr>
        <w:t xml:space="preserve"> Zie </w:t>
      </w:r>
      <w:r w:rsidRPr="00C77FA8">
        <w:rPr>
          <w:i/>
          <w:sz w:val="20"/>
          <w:szCs w:val="20"/>
        </w:rPr>
        <w:t>Kamerstukken II</w:t>
      </w:r>
      <w:r w:rsidR="009336CE">
        <w:rPr>
          <w:sz w:val="20"/>
          <w:szCs w:val="20"/>
        </w:rPr>
        <w:t xml:space="preserve">, 34 455, 3, p. 9-10 en 28. </w:t>
      </w:r>
    </w:p>
  </w:footnote>
  <w:footnote w:id="12">
    <w:p w14:paraId="68FD9B87" w14:textId="02CB02C9" w:rsidR="00D0647E" w:rsidRPr="00D0647E" w:rsidRDefault="00D0647E">
      <w:pPr>
        <w:pStyle w:val="FootnoteText"/>
        <w:rPr>
          <w:sz w:val="20"/>
          <w:szCs w:val="20"/>
        </w:rPr>
      </w:pPr>
      <w:r w:rsidRPr="00D0647E">
        <w:rPr>
          <w:rStyle w:val="FootnoteReference"/>
          <w:sz w:val="20"/>
          <w:szCs w:val="20"/>
        </w:rPr>
        <w:footnoteRef/>
      </w:r>
      <w:r w:rsidRPr="00D0647E">
        <w:rPr>
          <w:sz w:val="20"/>
          <w:szCs w:val="20"/>
        </w:rPr>
        <w:t xml:space="preserve"> Zie </w:t>
      </w:r>
      <w:r w:rsidRPr="00D0647E">
        <w:rPr>
          <w:i/>
          <w:sz w:val="20"/>
          <w:szCs w:val="20"/>
        </w:rPr>
        <w:t>Kamerstukken II</w:t>
      </w:r>
      <w:r w:rsidRPr="00D0647E">
        <w:rPr>
          <w:sz w:val="20"/>
          <w:szCs w:val="20"/>
        </w:rPr>
        <w:t xml:space="preserve">, 34 455, 5 met bijlage: Inventarisatie ervaringen boetestelsel 2009-2015. </w:t>
      </w:r>
    </w:p>
  </w:footnote>
  <w:footnote w:id="13">
    <w:p w14:paraId="5D0D1085" w14:textId="0483B1AC" w:rsidR="000314EB" w:rsidRPr="000314EB" w:rsidRDefault="000314EB">
      <w:pPr>
        <w:pStyle w:val="FootnoteText"/>
        <w:rPr>
          <w:sz w:val="20"/>
          <w:szCs w:val="20"/>
        </w:rPr>
      </w:pPr>
      <w:r w:rsidRPr="000314EB">
        <w:rPr>
          <w:rStyle w:val="FootnoteReference"/>
          <w:sz w:val="20"/>
          <w:szCs w:val="20"/>
        </w:rPr>
        <w:footnoteRef/>
      </w:r>
      <w:r w:rsidRPr="000314EB">
        <w:rPr>
          <w:sz w:val="20"/>
          <w:szCs w:val="20"/>
        </w:rPr>
        <w:t xml:space="preserve"> Z</w:t>
      </w:r>
      <w:r w:rsidR="003F7B5B">
        <w:rPr>
          <w:sz w:val="20"/>
          <w:szCs w:val="20"/>
        </w:rPr>
        <w:t>ie de M</w:t>
      </w:r>
      <w:r w:rsidRPr="000314EB">
        <w:rPr>
          <w:sz w:val="20"/>
          <w:szCs w:val="20"/>
        </w:rPr>
        <w:t>ededeling van de Commissie aan het Europees Parlement, de Raad, het Europees Economisch en Sociaal Comité en het Comité van de Regio’s getiteld ‘Het versterken van sanctieregelingen in de financiële sector’ uit 2010</w:t>
      </w:r>
      <w:r>
        <w:rPr>
          <w:sz w:val="20"/>
          <w:szCs w:val="20"/>
        </w:rPr>
        <w:t xml:space="preserve">, </w:t>
      </w:r>
      <w:r w:rsidRPr="007A1842">
        <w:rPr>
          <w:i/>
          <w:sz w:val="20"/>
          <w:szCs w:val="20"/>
        </w:rPr>
        <w:t xml:space="preserve">COM </w:t>
      </w:r>
      <w:r w:rsidRPr="000314EB">
        <w:rPr>
          <w:sz w:val="20"/>
          <w:szCs w:val="20"/>
        </w:rPr>
        <w:t xml:space="preserve">(2010) 716. </w:t>
      </w:r>
      <w:r w:rsidR="00B53110">
        <w:rPr>
          <w:sz w:val="20"/>
          <w:szCs w:val="20"/>
        </w:rPr>
        <w:t xml:space="preserve">Een en ander is </w:t>
      </w:r>
      <w:r w:rsidR="00DD0021">
        <w:rPr>
          <w:sz w:val="20"/>
          <w:szCs w:val="20"/>
        </w:rPr>
        <w:t xml:space="preserve">weer </w:t>
      </w:r>
      <w:r w:rsidR="00617A8F">
        <w:rPr>
          <w:sz w:val="20"/>
          <w:szCs w:val="20"/>
        </w:rPr>
        <w:t xml:space="preserve">terug te voeren op de aanbevelingen </w:t>
      </w:r>
      <w:r w:rsidR="00B53110">
        <w:rPr>
          <w:sz w:val="20"/>
          <w:szCs w:val="20"/>
        </w:rPr>
        <w:t xml:space="preserve">(bijv. 6 en 20) </w:t>
      </w:r>
      <w:r w:rsidR="00617A8F">
        <w:rPr>
          <w:sz w:val="20"/>
          <w:szCs w:val="20"/>
        </w:rPr>
        <w:t xml:space="preserve">van de zogenoemde </w:t>
      </w:r>
      <w:proofErr w:type="spellStart"/>
      <w:r w:rsidR="00617A8F">
        <w:rPr>
          <w:sz w:val="20"/>
          <w:szCs w:val="20"/>
        </w:rPr>
        <w:t>Larosi</w:t>
      </w:r>
      <w:r w:rsidR="00B53110">
        <w:rPr>
          <w:rFonts w:ascii="Calibri" w:hAnsi="Calibri"/>
          <w:sz w:val="20"/>
          <w:szCs w:val="20"/>
        </w:rPr>
        <w:t>è</w:t>
      </w:r>
      <w:r w:rsidR="00617A8F">
        <w:rPr>
          <w:sz w:val="20"/>
          <w:szCs w:val="20"/>
        </w:rPr>
        <w:t>re</w:t>
      </w:r>
      <w:proofErr w:type="spellEnd"/>
      <w:r w:rsidR="00617A8F">
        <w:rPr>
          <w:sz w:val="20"/>
          <w:szCs w:val="20"/>
        </w:rPr>
        <w:t xml:space="preserve"> Groep uit 2009. </w:t>
      </w:r>
    </w:p>
  </w:footnote>
  <w:footnote w:id="14">
    <w:p w14:paraId="1B668711" w14:textId="4992EFAC" w:rsidR="00FE453A" w:rsidRPr="00FE453A" w:rsidRDefault="00FE453A">
      <w:pPr>
        <w:pStyle w:val="FootnoteText"/>
        <w:rPr>
          <w:sz w:val="20"/>
          <w:szCs w:val="20"/>
        </w:rPr>
      </w:pPr>
      <w:r w:rsidRPr="00FE453A">
        <w:rPr>
          <w:rStyle w:val="FootnoteReference"/>
          <w:sz w:val="20"/>
          <w:szCs w:val="20"/>
        </w:rPr>
        <w:footnoteRef/>
      </w:r>
      <w:r w:rsidRPr="00FE453A">
        <w:rPr>
          <w:sz w:val="20"/>
          <w:szCs w:val="20"/>
        </w:rPr>
        <w:t xml:space="preserve"> </w:t>
      </w:r>
      <w:r w:rsidR="00C64562">
        <w:rPr>
          <w:sz w:val="20"/>
          <w:szCs w:val="20"/>
        </w:rPr>
        <w:t xml:space="preserve">Zie </w:t>
      </w:r>
      <w:r w:rsidRPr="00FE453A">
        <w:rPr>
          <w:i/>
          <w:sz w:val="20"/>
          <w:szCs w:val="20"/>
        </w:rPr>
        <w:t>Kamerstukken II</w:t>
      </w:r>
      <w:r w:rsidR="00C64562">
        <w:rPr>
          <w:sz w:val="20"/>
          <w:szCs w:val="20"/>
        </w:rPr>
        <w:t>, 2015/16, 34 455, 6, p. 2-3</w:t>
      </w:r>
      <w:r w:rsidRPr="00FE453A">
        <w:rPr>
          <w:sz w:val="20"/>
          <w:szCs w:val="20"/>
        </w:rPr>
        <w:t>.</w:t>
      </w:r>
    </w:p>
  </w:footnote>
  <w:footnote w:id="15">
    <w:p w14:paraId="094CEB4F" w14:textId="36643950" w:rsidR="0077549A" w:rsidRPr="0077549A" w:rsidRDefault="0077549A">
      <w:pPr>
        <w:pStyle w:val="FootnoteText"/>
        <w:rPr>
          <w:sz w:val="20"/>
          <w:szCs w:val="20"/>
        </w:rPr>
      </w:pPr>
      <w:r w:rsidRPr="0077549A">
        <w:rPr>
          <w:rStyle w:val="FootnoteReference"/>
          <w:sz w:val="20"/>
          <w:szCs w:val="20"/>
        </w:rPr>
        <w:footnoteRef/>
      </w:r>
      <w:r w:rsidRPr="0077549A">
        <w:rPr>
          <w:sz w:val="20"/>
          <w:szCs w:val="20"/>
        </w:rPr>
        <w:t xml:space="preserve"> </w:t>
      </w:r>
      <w:r w:rsidRPr="0077549A">
        <w:rPr>
          <w:i/>
          <w:sz w:val="20"/>
          <w:szCs w:val="20"/>
        </w:rPr>
        <w:t>Kamerstukken II</w:t>
      </w:r>
      <w:r w:rsidRPr="0077549A">
        <w:rPr>
          <w:sz w:val="20"/>
          <w:szCs w:val="20"/>
        </w:rPr>
        <w:t>, 2014/15, 33 964, 32.</w:t>
      </w:r>
    </w:p>
  </w:footnote>
  <w:footnote w:id="16">
    <w:p w14:paraId="1CCE75FE" w14:textId="1012E238" w:rsidR="00B95155" w:rsidRPr="00B95155" w:rsidRDefault="00B95155">
      <w:pPr>
        <w:pStyle w:val="FootnoteText"/>
        <w:rPr>
          <w:sz w:val="20"/>
          <w:szCs w:val="20"/>
        </w:rPr>
      </w:pPr>
      <w:r w:rsidRPr="00B95155">
        <w:rPr>
          <w:rStyle w:val="FootnoteReference"/>
          <w:sz w:val="20"/>
          <w:szCs w:val="20"/>
        </w:rPr>
        <w:footnoteRef/>
      </w:r>
      <w:r w:rsidR="00FE453A">
        <w:rPr>
          <w:sz w:val="20"/>
          <w:szCs w:val="20"/>
        </w:rPr>
        <w:t xml:space="preserve"> Idem, </w:t>
      </w:r>
      <w:r w:rsidRPr="00B95155">
        <w:rPr>
          <w:sz w:val="20"/>
          <w:szCs w:val="20"/>
        </w:rPr>
        <w:t xml:space="preserve">p. 6. </w:t>
      </w:r>
    </w:p>
  </w:footnote>
  <w:footnote w:id="17">
    <w:p w14:paraId="309FFB91" w14:textId="25018695" w:rsidR="00C64562" w:rsidRPr="00C64562" w:rsidRDefault="00C64562">
      <w:pPr>
        <w:pStyle w:val="FootnoteText"/>
        <w:rPr>
          <w:sz w:val="20"/>
          <w:szCs w:val="20"/>
        </w:rPr>
      </w:pPr>
      <w:r w:rsidRPr="00C64562">
        <w:rPr>
          <w:rStyle w:val="FootnoteReference"/>
          <w:sz w:val="20"/>
          <w:szCs w:val="20"/>
        </w:rPr>
        <w:footnoteRef/>
      </w:r>
      <w:r w:rsidRPr="00C64562">
        <w:rPr>
          <w:sz w:val="20"/>
          <w:szCs w:val="20"/>
        </w:rPr>
        <w:t xml:space="preserve"> </w:t>
      </w:r>
      <w:r>
        <w:rPr>
          <w:sz w:val="20"/>
          <w:szCs w:val="20"/>
        </w:rPr>
        <w:t xml:space="preserve">Zie </w:t>
      </w:r>
      <w:r w:rsidRPr="00C64562">
        <w:rPr>
          <w:i/>
          <w:sz w:val="20"/>
          <w:szCs w:val="20"/>
        </w:rPr>
        <w:t>Kamerstukken II</w:t>
      </w:r>
      <w:r w:rsidRPr="00C64562">
        <w:rPr>
          <w:sz w:val="20"/>
          <w:szCs w:val="20"/>
        </w:rPr>
        <w:t>, 2015/16, 34 455, 11.</w:t>
      </w:r>
    </w:p>
  </w:footnote>
  <w:footnote w:id="18">
    <w:p w14:paraId="50D3D280" w14:textId="69768EB1" w:rsidR="00803C10" w:rsidRPr="00FC7835" w:rsidRDefault="00803C10">
      <w:pPr>
        <w:pStyle w:val="FootnoteText"/>
        <w:rPr>
          <w:sz w:val="20"/>
          <w:szCs w:val="20"/>
        </w:rPr>
      </w:pPr>
      <w:r w:rsidRPr="00803C10">
        <w:rPr>
          <w:rStyle w:val="FootnoteReference"/>
          <w:sz w:val="20"/>
          <w:szCs w:val="20"/>
        </w:rPr>
        <w:footnoteRef/>
      </w:r>
      <w:r w:rsidRPr="00FC7835">
        <w:rPr>
          <w:sz w:val="20"/>
          <w:szCs w:val="20"/>
        </w:rPr>
        <w:t xml:space="preserve"> Idem, p. 2. </w:t>
      </w:r>
    </w:p>
  </w:footnote>
  <w:footnote w:id="19">
    <w:p w14:paraId="457E1B6B" w14:textId="4A2C9991" w:rsidR="002B3473" w:rsidRPr="00FC7835" w:rsidRDefault="002B3473">
      <w:pPr>
        <w:pStyle w:val="FootnoteText"/>
        <w:rPr>
          <w:sz w:val="20"/>
          <w:szCs w:val="20"/>
        </w:rPr>
      </w:pPr>
      <w:r w:rsidRPr="002B3473">
        <w:rPr>
          <w:rStyle w:val="FootnoteReference"/>
          <w:sz w:val="20"/>
          <w:szCs w:val="20"/>
        </w:rPr>
        <w:footnoteRef/>
      </w:r>
      <w:r w:rsidRPr="00FC7835">
        <w:rPr>
          <w:sz w:val="20"/>
          <w:szCs w:val="20"/>
        </w:rPr>
        <w:t xml:space="preserve"> Idem, p. 3. </w:t>
      </w:r>
    </w:p>
  </w:footnote>
  <w:footnote w:id="20">
    <w:p w14:paraId="2C5C7EAF" w14:textId="0EA2F786" w:rsidR="001C2CA9" w:rsidRPr="001C2CA9" w:rsidRDefault="001C2CA9">
      <w:pPr>
        <w:pStyle w:val="FootnoteText"/>
        <w:rPr>
          <w:sz w:val="20"/>
          <w:szCs w:val="20"/>
        </w:rPr>
      </w:pPr>
      <w:r w:rsidRPr="001C2CA9">
        <w:rPr>
          <w:rStyle w:val="FootnoteReference"/>
          <w:sz w:val="20"/>
          <w:szCs w:val="20"/>
        </w:rPr>
        <w:footnoteRef/>
      </w:r>
      <w:r w:rsidRPr="001C2CA9">
        <w:rPr>
          <w:sz w:val="20"/>
          <w:szCs w:val="20"/>
        </w:rPr>
        <w:t xml:space="preserve"> Zoals hij zo mooi aantoont aan de hand van de Ford </w:t>
      </w:r>
      <w:proofErr w:type="spellStart"/>
      <w:r w:rsidRPr="001C2CA9">
        <w:rPr>
          <w:sz w:val="20"/>
          <w:szCs w:val="20"/>
        </w:rPr>
        <w:t>Pinto</w:t>
      </w:r>
      <w:proofErr w:type="spellEnd"/>
      <w:r w:rsidRPr="001C2CA9">
        <w:rPr>
          <w:sz w:val="20"/>
          <w:szCs w:val="20"/>
        </w:rPr>
        <w:t>-affaire (1992, p. 20-21).</w:t>
      </w:r>
    </w:p>
  </w:footnote>
  <w:footnote w:id="21">
    <w:p w14:paraId="0DE222C7" w14:textId="2F49A56E" w:rsidR="000A298F" w:rsidRPr="003C59EB" w:rsidRDefault="000A298F">
      <w:pPr>
        <w:pStyle w:val="FootnoteText"/>
        <w:rPr>
          <w:sz w:val="20"/>
          <w:szCs w:val="20"/>
        </w:rPr>
      </w:pPr>
      <w:r w:rsidRPr="000A298F">
        <w:rPr>
          <w:rStyle w:val="FootnoteReference"/>
          <w:sz w:val="20"/>
          <w:szCs w:val="20"/>
        </w:rPr>
        <w:footnoteRef/>
      </w:r>
      <w:r w:rsidRPr="000A298F">
        <w:rPr>
          <w:sz w:val="20"/>
          <w:szCs w:val="20"/>
        </w:rPr>
        <w:t xml:space="preserve"> Van gecombineerde interventies blijkt wel enig </w:t>
      </w:r>
      <w:r>
        <w:rPr>
          <w:sz w:val="20"/>
          <w:szCs w:val="20"/>
        </w:rPr>
        <w:t xml:space="preserve">afschrikwekkend </w:t>
      </w:r>
      <w:r w:rsidRPr="000A298F">
        <w:rPr>
          <w:sz w:val="20"/>
          <w:szCs w:val="20"/>
        </w:rPr>
        <w:t>effect uit te gaan (2014, p. 31 en 39).</w:t>
      </w:r>
      <w:r w:rsidR="008164D2">
        <w:rPr>
          <w:sz w:val="20"/>
          <w:szCs w:val="20"/>
        </w:rPr>
        <w:t xml:space="preserve"> </w:t>
      </w:r>
      <w:r w:rsidR="00377EFF">
        <w:rPr>
          <w:sz w:val="20"/>
          <w:szCs w:val="20"/>
        </w:rPr>
        <w:t xml:space="preserve">Overigens, de </w:t>
      </w:r>
      <w:r w:rsidR="00377EFF" w:rsidRPr="00377EFF">
        <w:rPr>
          <w:i/>
          <w:sz w:val="20"/>
          <w:szCs w:val="20"/>
        </w:rPr>
        <w:t>Campbell Corporation</w:t>
      </w:r>
      <w:r w:rsidR="00377EFF">
        <w:rPr>
          <w:sz w:val="20"/>
          <w:szCs w:val="20"/>
        </w:rPr>
        <w:t xml:space="preserve"> legt de lat v</w:t>
      </w:r>
      <w:r w:rsidR="007546B6">
        <w:rPr>
          <w:sz w:val="20"/>
          <w:szCs w:val="20"/>
        </w:rPr>
        <w:t>oor effectiviteit wel erg hoog.</w:t>
      </w:r>
    </w:p>
  </w:footnote>
  <w:footnote w:id="22">
    <w:p w14:paraId="47BBB25A" w14:textId="5258236B" w:rsidR="007B32E6" w:rsidRPr="007B32E6" w:rsidRDefault="007B32E6">
      <w:pPr>
        <w:pStyle w:val="FootnoteText"/>
        <w:rPr>
          <w:sz w:val="20"/>
          <w:szCs w:val="20"/>
        </w:rPr>
      </w:pPr>
      <w:r w:rsidRPr="007B32E6">
        <w:rPr>
          <w:rStyle w:val="FootnoteReference"/>
          <w:sz w:val="20"/>
          <w:szCs w:val="20"/>
        </w:rPr>
        <w:footnoteRef/>
      </w:r>
      <w:r w:rsidRPr="007B32E6">
        <w:rPr>
          <w:sz w:val="20"/>
          <w:szCs w:val="20"/>
        </w:rPr>
        <w:t xml:space="preserve"> </w:t>
      </w:r>
      <w:r w:rsidRPr="007B32E6">
        <w:rPr>
          <w:i/>
          <w:sz w:val="20"/>
          <w:szCs w:val="20"/>
        </w:rPr>
        <w:t>Staatscourant</w:t>
      </w:r>
      <w:r w:rsidRPr="007B32E6">
        <w:rPr>
          <w:sz w:val="20"/>
          <w:szCs w:val="20"/>
        </w:rPr>
        <w:t>, 2015, 30280.</w:t>
      </w:r>
    </w:p>
  </w:footnote>
  <w:footnote w:id="23">
    <w:p w14:paraId="5043EBAA" w14:textId="76A38CA9" w:rsidR="00EF407E" w:rsidRPr="00B17B93" w:rsidRDefault="00EF407E">
      <w:pPr>
        <w:pStyle w:val="FootnoteText"/>
        <w:rPr>
          <w:sz w:val="20"/>
          <w:szCs w:val="20"/>
        </w:rPr>
      </w:pPr>
      <w:r w:rsidRPr="00B17B93">
        <w:rPr>
          <w:rStyle w:val="FootnoteReference"/>
          <w:sz w:val="20"/>
          <w:szCs w:val="20"/>
        </w:rPr>
        <w:footnoteRef/>
      </w:r>
      <w:r w:rsidR="008A15B4">
        <w:rPr>
          <w:sz w:val="20"/>
          <w:szCs w:val="20"/>
        </w:rPr>
        <w:t xml:space="preserve"> Dit leid ik af uit het jaarverslag over 2015 van </w:t>
      </w:r>
      <w:r w:rsidRPr="00B17B93">
        <w:rPr>
          <w:sz w:val="20"/>
          <w:szCs w:val="20"/>
        </w:rPr>
        <w:t>de AFM</w:t>
      </w:r>
      <w:r w:rsidR="008A15B4">
        <w:rPr>
          <w:sz w:val="20"/>
          <w:szCs w:val="20"/>
        </w:rPr>
        <w:t xml:space="preserve"> en op basis van navraag bij de AFM</w:t>
      </w:r>
      <w:r w:rsidRPr="00B17B93">
        <w:rPr>
          <w:sz w:val="20"/>
          <w:szCs w:val="20"/>
        </w:rPr>
        <w:t>. Zie mijn proefschrift voor een overzi</w:t>
      </w:r>
      <w:r w:rsidR="00B17B93" w:rsidRPr="00B17B93">
        <w:rPr>
          <w:sz w:val="20"/>
          <w:szCs w:val="20"/>
        </w:rPr>
        <w:t xml:space="preserve">cht van eerdere boetebesluiten (p. 148). </w:t>
      </w:r>
    </w:p>
  </w:footnote>
  <w:footnote w:id="24">
    <w:p w14:paraId="4AD04796" w14:textId="5C21EC34" w:rsidR="00D86DA7" w:rsidRPr="00FD3C4F" w:rsidRDefault="00D86DA7">
      <w:pPr>
        <w:pStyle w:val="FootnoteText"/>
        <w:rPr>
          <w:color w:val="000000" w:themeColor="text1"/>
          <w:sz w:val="20"/>
          <w:szCs w:val="20"/>
        </w:rPr>
      </w:pPr>
      <w:r w:rsidRPr="00FD3C4F">
        <w:rPr>
          <w:rStyle w:val="FootnoteReference"/>
          <w:color w:val="000000" w:themeColor="text1"/>
          <w:sz w:val="20"/>
          <w:szCs w:val="20"/>
        </w:rPr>
        <w:footnoteRef/>
      </w:r>
      <w:r w:rsidRPr="00FD3C4F">
        <w:rPr>
          <w:color w:val="000000" w:themeColor="text1"/>
          <w:sz w:val="20"/>
          <w:szCs w:val="20"/>
        </w:rPr>
        <w:t xml:space="preserve"> De hoogste boete die de AFM heeft opgelegd, voor zover ik kon nagaan, beloopt </w:t>
      </w:r>
      <w:r w:rsidRPr="00FD3C4F">
        <w:rPr>
          <w:rFonts w:ascii="Calibri" w:hAnsi="Calibri"/>
          <w:color w:val="000000" w:themeColor="text1"/>
          <w:sz w:val="20"/>
          <w:szCs w:val="20"/>
        </w:rPr>
        <w:t>€</w:t>
      </w:r>
      <w:r w:rsidRPr="00FD3C4F">
        <w:rPr>
          <w:color w:val="000000" w:themeColor="text1"/>
          <w:sz w:val="20"/>
          <w:szCs w:val="20"/>
        </w:rPr>
        <w:t xml:space="preserve"> 3.000.000,-</w:t>
      </w:r>
      <w:r w:rsidR="005262AD" w:rsidRPr="00FD3C4F">
        <w:rPr>
          <w:color w:val="000000" w:themeColor="text1"/>
          <w:sz w:val="20"/>
          <w:szCs w:val="20"/>
        </w:rPr>
        <w:t xml:space="preserve"> en is in 2014</w:t>
      </w:r>
      <w:r w:rsidRPr="00FD3C4F">
        <w:rPr>
          <w:color w:val="000000" w:themeColor="text1"/>
          <w:sz w:val="20"/>
          <w:szCs w:val="20"/>
        </w:rPr>
        <w:t xml:space="preserve"> opgelegd aan ABN AMRO</w:t>
      </w:r>
      <w:r w:rsidR="00FD3C4F" w:rsidRPr="00FD3C4F">
        <w:rPr>
          <w:color w:val="000000" w:themeColor="text1"/>
          <w:sz w:val="20"/>
          <w:szCs w:val="20"/>
        </w:rPr>
        <w:t xml:space="preserve"> Bank N</w:t>
      </w:r>
      <w:r w:rsidR="0089022A">
        <w:rPr>
          <w:color w:val="000000" w:themeColor="text1"/>
          <w:sz w:val="20"/>
          <w:szCs w:val="20"/>
        </w:rPr>
        <w:t>.</w:t>
      </w:r>
      <w:r w:rsidR="00FD3C4F" w:rsidRPr="00FD3C4F">
        <w:rPr>
          <w:color w:val="000000" w:themeColor="text1"/>
          <w:sz w:val="20"/>
          <w:szCs w:val="20"/>
        </w:rPr>
        <w:t>V</w:t>
      </w:r>
      <w:r w:rsidR="0089022A">
        <w:rPr>
          <w:color w:val="000000" w:themeColor="text1"/>
          <w:sz w:val="20"/>
          <w:szCs w:val="20"/>
        </w:rPr>
        <w:t>.</w:t>
      </w:r>
      <w:r w:rsidR="00FD3C4F" w:rsidRPr="00FD3C4F">
        <w:rPr>
          <w:color w:val="000000" w:themeColor="text1"/>
          <w:sz w:val="20"/>
          <w:szCs w:val="20"/>
        </w:rPr>
        <w:t xml:space="preserve">, ook in verband met de derivatenaffaire (art. 35, 1 </w:t>
      </w:r>
      <w:proofErr w:type="spellStart"/>
      <w:r w:rsidR="00FD3C4F" w:rsidRPr="00FD3C4F">
        <w:rPr>
          <w:color w:val="000000" w:themeColor="text1"/>
          <w:sz w:val="20"/>
          <w:szCs w:val="20"/>
        </w:rPr>
        <w:t>BGfo</w:t>
      </w:r>
      <w:proofErr w:type="spellEnd"/>
      <w:r w:rsidR="00FD3C4F" w:rsidRPr="00FD3C4F">
        <w:rPr>
          <w:color w:val="000000" w:themeColor="text1"/>
          <w:sz w:val="20"/>
          <w:szCs w:val="20"/>
        </w:rPr>
        <w:t xml:space="preserve">). </w:t>
      </w:r>
    </w:p>
  </w:footnote>
  <w:footnote w:id="25">
    <w:p w14:paraId="0173084D" w14:textId="06BB66A9" w:rsidR="005B2F98" w:rsidRPr="005B2F98" w:rsidRDefault="005B2F98">
      <w:pPr>
        <w:pStyle w:val="FootnoteText"/>
        <w:rPr>
          <w:sz w:val="20"/>
          <w:szCs w:val="20"/>
        </w:rPr>
      </w:pPr>
      <w:r w:rsidRPr="005B2F98">
        <w:rPr>
          <w:rStyle w:val="FootnoteReference"/>
          <w:sz w:val="20"/>
          <w:szCs w:val="20"/>
        </w:rPr>
        <w:footnoteRef/>
      </w:r>
      <w:r w:rsidRPr="005B2F98">
        <w:rPr>
          <w:sz w:val="20"/>
          <w:szCs w:val="20"/>
        </w:rPr>
        <w:t xml:space="preserve"> In </w:t>
      </w:r>
      <w:r w:rsidR="00AD76BD">
        <w:rPr>
          <w:sz w:val="20"/>
          <w:szCs w:val="20"/>
        </w:rPr>
        <w:t xml:space="preserve">deze gevallen is voor elk van de accountantsorganisaties een samengesteld basisbedrag gehanteerd in verband met een verhoging daarvan gedurende de looptijd van de overtreding. In </w:t>
      </w:r>
      <w:r w:rsidRPr="005B2F98">
        <w:rPr>
          <w:sz w:val="20"/>
          <w:szCs w:val="20"/>
        </w:rPr>
        <w:t>het geval van Deloitte en EY is he</w:t>
      </w:r>
      <w:r>
        <w:rPr>
          <w:sz w:val="20"/>
          <w:szCs w:val="20"/>
        </w:rPr>
        <w:t xml:space="preserve">t basisbedrag </w:t>
      </w:r>
      <w:r w:rsidR="00AD76BD">
        <w:rPr>
          <w:sz w:val="20"/>
          <w:szCs w:val="20"/>
        </w:rPr>
        <w:t xml:space="preserve">nog weer </w:t>
      </w:r>
      <w:r>
        <w:rPr>
          <w:sz w:val="20"/>
          <w:szCs w:val="20"/>
        </w:rPr>
        <w:t xml:space="preserve">verdubbeld in verband met </w:t>
      </w:r>
      <w:r w:rsidRPr="005B2F98">
        <w:rPr>
          <w:sz w:val="20"/>
          <w:szCs w:val="20"/>
        </w:rPr>
        <w:t xml:space="preserve">recidive. </w:t>
      </w:r>
    </w:p>
  </w:footnote>
  <w:footnote w:id="26">
    <w:p w14:paraId="46843691" w14:textId="7B5816F1" w:rsidR="00B33BDB" w:rsidRPr="006E379A" w:rsidRDefault="00B33BDB">
      <w:pPr>
        <w:pStyle w:val="FootnoteText"/>
        <w:rPr>
          <w:sz w:val="20"/>
          <w:szCs w:val="20"/>
        </w:rPr>
      </w:pPr>
      <w:r w:rsidRPr="00B33BDB">
        <w:rPr>
          <w:rStyle w:val="FootnoteReference"/>
          <w:sz w:val="20"/>
          <w:szCs w:val="20"/>
        </w:rPr>
        <w:footnoteRef/>
      </w:r>
      <w:r w:rsidRPr="00B33BDB">
        <w:rPr>
          <w:sz w:val="20"/>
          <w:szCs w:val="20"/>
        </w:rPr>
        <w:t xml:space="preserve"> Dit </w:t>
      </w:r>
      <w:r w:rsidR="0089022A">
        <w:rPr>
          <w:sz w:val="20"/>
          <w:szCs w:val="20"/>
        </w:rPr>
        <w:t>leid ik af uit de ZBO-</w:t>
      </w:r>
      <w:r w:rsidR="00BC4E41">
        <w:rPr>
          <w:sz w:val="20"/>
          <w:szCs w:val="20"/>
        </w:rPr>
        <w:t xml:space="preserve">verantwoording </w:t>
      </w:r>
      <w:r w:rsidR="008A15B4">
        <w:rPr>
          <w:sz w:val="20"/>
          <w:szCs w:val="20"/>
        </w:rPr>
        <w:t xml:space="preserve">over 2015 </w:t>
      </w:r>
      <w:r w:rsidRPr="00B33BDB">
        <w:rPr>
          <w:sz w:val="20"/>
          <w:szCs w:val="20"/>
        </w:rPr>
        <w:t>en de website van DNB. Zie mijn proefschrift voor een overzicht</w:t>
      </w:r>
      <w:r w:rsidRPr="00B17B93">
        <w:rPr>
          <w:sz w:val="20"/>
          <w:szCs w:val="20"/>
        </w:rPr>
        <w:t xml:space="preserve"> va</w:t>
      </w:r>
      <w:r>
        <w:rPr>
          <w:sz w:val="20"/>
          <w:szCs w:val="20"/>
        </w:rPr>
        <w:t>n eerdere boetebesluiten (p. 237</w:t>
      </w:r>
      <w:r w:rsidRPr="00B17B93">
        <w:rPr>
          <w:sz w:val="20"/>
          <w:szCs w:val="20"/>
        </w:rPr>
        <w:t xml:space="preserve">). </w:t>
      </w:r>
    </w:p>
  </w:footnote>
  <w:footnote w:id="27">
    <w:p w14:paraId="1AA4E7FA" w14:textId="276B0F25" w:rsidR="006E379A" w:rsidRPr="00AB006E" w:rsidRDefault="006E379A">
      <w:pPr>
        <w:pStyle w:val="FootnoteText"/>
        <w:rPr>
          <w:sz w:val="20"/>
          <w:szCs w:val="20"/>
        </w:rPr>
      </w:pPr>
      <w:r w:rsidRPr="00AB006E">
        <w:rPr>
          <w:rStyle w:val="FootnoteReference"/>
          <w:sz w:val="20"/>
          <w:szCs w:val="20"/>
        </w:rPr>
        <w:footnoteRef/>
      </w:r>
      <w:r w:rsidRPr="00AB006E">
        <w:rPr>
          <w:sz w:val="20"/>
          <w:szCs w:val="20"/>
        </w:rPr>
        <w:t xml:space="preserve"> Bijzonder was natuurlijk wel de boete van </w:t>
      </w:r>
      <w:r w:rsidRPr="00AB006E">
        <w:rPr>
          <w:rFonts w:ascii="Calibri" w:hAnsi="Calibri"/>
          <w:sz w:val="20"/>
          <w:szCs w:val="20"/>
        </w:rPr>
        <w:t>€</w:t>
      </w:r>
      <w:r w:rsidRPr="00AB006E">
        <w:rPr>
          <w:sz w:val="20"/>
          <w:szCs w:val="20"/>
        </w:rPr>
        <w:t xml:space="preserve"> 22.800.000,- die eind 2014 is opgelegd aan Delta Lloyd </w:t>
      </w:r>
      <w:r w:rsidR="00D81E61">
        <w:rPr>
          <w:sz w:val="20"/>
          <w:szCs w:val="20"/>
        </w:rPr>
        <w:t xml:space="preserve">Levensverzekering N.V. </w:t>
      </w:r>
      <w:r w:rsidRPr="00AB006E">
        <w:rPr>
          <w:sz w:val="20"/>
          <w:szCs w:val="20"/>
        </w:rPr>
        <w:t>voor overtreding van de voorschriften voor een beheerste en integere bedrijfsvoering (art. 3:</w:t>
      </w:r>
      <w:r w:rsidR="00E9043C" w:rsidRPr="00AB006E">
        <w:rPr>
          <w:sz w:val="20"/>
          <w:szCs w:val="20"/>
        </w:rPr>
        <w:t xml:space="preserve">10 en 3:17 </w:t>
      </w:r>
      <w:proofErr w:type="spellStart"/>
      <w:r w:rsidR="00E9043C" w:rsidRPr="00AB006E">
        <w:rPr>
          <w:sz w:val="20"/>
          <w:szCs w:val="20"/>
        </w:rPr>
        <w:t>Wft</w:t>
      </w:r>
      <w:proofErr w:type="spellEnd"/>
      <w:r w:rsidR="00E9043C" w:rsidRPr="00AB006E">
        <w:rPr>
          <w:sz w:val="20"/>
          <w:szCs w:val="20"/>
        </w:rPr>
        <w:t>). De ho</w:t>
      </w:r>
      <w:r w:rsidR="004F4311">
        <w:rPr>
          <w:sz w:val="20"/>
          <w:szCs w:val="20"/>
        </w:rPr>
        <w:t xml:space="preserve">ogte van die boete werd in sterke mate </w:t>
      </w:r>
      <w:r w:rsidR="00AB006E" w:rsidRPr="00AB006E">
        <w:rPr>
          <w:sz w:val="20"/>
          <w:szCs w:val="20"/>
        </w:rPr>
        <w:t xml:space="preserve">bepaald door het met de overtreding behaalde voordeel van </w:t>
      </w:r>
      <w:r w:rsidR="00AB006E" w:rsidRPr="00AB006E">
        <w:rPr>
          <w:rFonts w:ascii="Calibri" w:hAnsi="Calibri"/>
          <w:sz w:val="20"/>
          <w:szCs w:val="20"/>
        </w:rPr>
        <w:t>€</w:t>
      </w:r>
      <w:r w:rsidR="00AB006E" w:rsidRPr="00AB006E">
        <w:rPr>
          <w:sz w:val="20"/>
          <w:szCs w:val="20"/>
        </w:rPr>
        <w:t xml:space="preserve"> 21.600.000,-. </w:t>
      </w:r>
      <w:r w:rsidR="004F4311">
        <w:rPr>
          <w:sz w:val="20"/>
          <w:szCs w:val="20"/>
        </w:rPr>
        <w:t xml:space="preserve">In januari van 2017 </w:t>
      </w:r>
      <w:r w:rsidR="009C1EF4">
        <w:rPr>
          <w:sz w:val="20"/>
          <w:szCs w:val="20"/>
        </w:rPr>
        <w:t xml:space="preserve">legde DNB nog </w:t>
      </w:r>
      <w:r w:rsidR="00C70B93">
        <w:rPr>
          <w:sz w:val="20"/>
          <w:szCs w:val="20"/>
        </w:rPr>
        <w:t xml:space="preserve">een boete op aan GSFS Asset Management </w:t>
      </w:r>
      <w:r w:rsidR="004F4311">
        <w:rPr>
          <w:sz w:val="20"/>
          <w:szCs w:val="20"/>
        </w:rPr>
        <w:t xml:space="preserve">B.V. </w:t>
      </w:r>
      <w:r w:rsidR="00C70B93">
        <w:rPr>
          <w:sz w:val="20"/>
          <w:szCs w:val="20"/>
        </w:rPr>
        <w:t xml:space="preserve">van </w:t>
      </w:r>
      <w:r w:rsidR="00C70B93" w:rsidRPr="00AB006E">
        <w:rPr>
          <w:rFonts w:ascii="Calibri" w:hAnsi="Calibri"/>
          <w:sz w:val="20"/>
          <w:szCs w:val="20"/>
        </w:rPr>
        <w:t>€</w:t>
      </w:r>
      <w:r w:rsidR="00C70B93">
        <w:rPr>
          <w:sz w:val="20"/>
          <w:szCs w:val="20"/>
        </w:rPr>
        <w:t xml:space="preserve"> 4.977.50</w:t>
      </w:r>
      <w:r w:rsidR="00E34B74">
        <w:rPr>
          <w:sz w:val="20"/>
          <w:szCs w:val="20"/>
        </w:rPr>
        <w:t xml:space="preserve">0,- voor het verrichten van ‘dividendarbitrage’, een activiteit die </w:t>
      </w:r>
      <w:r w:rsidR="004F4311">
        <w:rPr>
          <w:sz w:val="20"/>
          <w:szCs w:val="20"/>
        </w:rPr>
        <w:t xml:space="preserve">op basis van de wet </w:t>
      </w:r>
      <w:r w:rsidR="00E34B74">
        <w:rPr>
          <w:sz w:val="20"/>
          <w:szCs w:val="20"/>
        </w:rPr>
        <w:t>niet past bij een pensioenfonds (art. 116 Pensioenwet). Ook in dit geval werd de hoogte van die boete in belangrijke mate bepaald door het verkregen voordeel (</w:t>
      </w:r>
      <w:r w:rsidR="00E34B74" w:rsidRPr="00AB006E">
        <w:rPr>
          <w:rFonts w:ascii="Calibri" w:hAnsi="Calibri"/>
          <w:sz w:val="20"/>
          <w:szCs w:val="20"/>
        </w:rPr>
        <w:t>€</w:t>
      </w:r>
      <w:r w:rsidR="00E34B74">
        <w:rPr>
          <w:sz w:val="20"/>
          <w:szCs w:val="20"/>
        </w:rPr>
        <w:t xml:space="preserve"> 4.949.305,-).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E17D4"/>
    <w:multiLevelType w:val="hybridMultilevel"/>
    <w:tmpl w:val="62C481C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4F315A49"/>
    <w:multiLevelType w:val="hybridMultilevel"/>
    <w:tmpl w:val="F048A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6F"/>
    <w:rsid w:val="00015BC9"/>
    <w:rsid w:val="0002497E"/>
    <w:rsid w:val="00024F34"/>
    <w:rsid w:val="000251D5"/>
    <w:rsid w:val="00026324"/>
    <w:rsid w:val="000314EB"/>
    <w:rsid w:val="00035781"/>
    <w:rsid w:val="0003752E"/>
    <w:rsid w:val="00037544"/>
    <w:rsid w:val="00037D8E"/>
    <w:rsid w:val="0004099A"/>
    <w:rsid w:val="00053C17"/>
    <w:rsid w:val="00056D3B"/>
    <w:rsid w:val="00060F72"/>
    <w:rsid w:val="00064385"/>
    <w:rsid w:val="00064A49"/>
    <w:rsid w:val="00067EF8"/>
    <w:rsid w:val="00072BA3"/>
    <w:rsid w:val="000731FC"/>
    <w:rsid w:val="00073D91"/>
    <w:rsid w:val="0007492F"/>
    <w:rsid w:val="0008019F"/>
    <w:rsid w:val="00090F77"/>
    <w:rsid w:val="00091BD1"/>
    <w:rsid w:val="00097F7D"/>
    <w:rsid w:val="000A23D4"/>
    <w:rsid w:val="000A298F"/>
    <w:rsid w:val="000B54BE"/>
    <w:rsid w:val="000C6976"/>
    <w:rsid w:val="000C7B45"/>
    <w:rsid w:val="000D2508"/>
    <w:rsid w:val="000D4F25"/>
    <w:rsid w:val="000E049A"/>
    <w:rsid w:val="000E1363"/>
    <w:rsid w:val="000F32DA"/>
    <w:rsid w:val="000F6E46"/>
    <w:rsid w:val="00103896"/>
    <w:rsid w:val="0011251B"/>
    <w:rsid w:val="00116933"/>
    <w:rsid w:val="00120B74"/>
    <w:rsid w:val="0012168D"/>
    <w:rsid w:val="00122BB9"/>
    <w:rsid w:val="001234EC"/>
    <w:rsid w:val="00125AA8"/>
    <w:rsid w:val="00134057"/>
    <w:rsid w:val="001378DA"/>
    <w:rsid w:val="0015099A"/>
    <w:rsid w:val="00156E86"/>
    <w:rsid w:val="00157FFB"/>
    <w:rsid w:val="00166DDA"/>
    <w:rsid w:val="00170550"/>
    <w:rsid w:val="00181281"/>
    <w:rsid w:val="00181555"/>
    <w:rsid w:val="00184DC6"/>
    <w:rsid w:val="00197CBB"/>
    <w:rsid w:val="001A657B"/>
    <w:rsid w:val="001B3801"/>
    <w:rsid w:val="001B4382"/>
    <w:rsid w:val="001B5445"/>
    <w:rsid w:val="001B614A"/>
    <w:rsid w:val="001B753D"/>
    <w:rsid w:val="001B7AB7"/>
    <w:rsid w:val="001C12F8"/>
    <w:rsid w:val="001C2930"/>
    <w:rsid w:val="001C2CA9"/>
    <w:rsid w:val="001C6729"/>
    <w:rsid w:val="001C69BA"/>
    <w:rsid w:val="001D4541"/>
    <w:rsid w:val="001D4D60"/>
    <w:rsid w:val="001D6899"/>
    <w:rsid w:val="001E270B"/>
    <w:rsid w:val="001E7C61"/>
    <w:rsid w:val="001F4D2B"/>
    <w:rsid w:val="001F7CCB"/>
    <w:rsid w:val="0020379A"/>
    <w:rsid w:val="00204C94"/>
    <w:rsid w:val="00204D79"/>
    <w:rsid w:val="00205B15"/>
    <w:rsid w:val="00205C51"/>
    <w:rsid w:val="00210202"/>
    <w:rsid w:val="0021023F"/>
    <w:rsid w:val="0022164B"/>
    <w:rsid w:val="00223B28"/>
    <w:rsid w:val="002240AC"/>
    <w:rsid w:val="00233F81"/>
    <w:rsid w:val="00236F5D"/>
    <w:rsid w:val="002453D5"/>
    <w:rsid w:val="0025499F"/>
    <w:rsid w:val="00255D65"/>
    <w:rsid w:val="00257B07"/>
    <w:rsid w:val="00257FC8"/>
    <w:rsid w:val="00263BC2"/>
    <w:rsid w:val="00265009"/>
    <w:rsid w:val="00267BE7"/>
    <w:rsid w:val="002718B6"/>
    <w:rsid w:val="00273F69"/>
    <w:rsid w:val="0027712D"/>
    <w:rsid w:val="0027780C"/>
    <w:rsid w:val="002843D1"/>
    <w:rsid w:val="00285F91"/>
    <w:rsid w:val="00290747"/>
    <w:rsid w:val="002961A0"/>
    <w:rsid w:val="002B1D6E"/>
    <w:rsid w:val="002B3473"/>
    <w:rsid w:val="002E1142"/>
    <w:rsid w:val="002F325A"/>
    <w:rsid w:val="002F6F40"/>
    <w:rsid w:val="00301F0E"/>
    <w:rsid w:val="00305681"/>
    <w:rsid w:val="00317008"/>
    <w:rsid w:val="0032077C"/>
    <w:rsid w:val="00333AE7"/>
    <w:rsid w:val="0033724A"/>
    <w:rsid w:val="003411F5"/>
    <w:rsid w:val="00343623"/>
    <w:rsid w:val="003523BD"/>
    <w:rsid w:val="0035456E"/>
    <w:rsid w:val="00355DEC"/>
    <w:rsid w:val="00372CE2"/>
    <w:rsid w:val="00377EFF"/>
    <w:rsid w:val="00390654"/>
    <w:rsid w:val="00395431"/>
    <w:rsid w:val="003A0DBB"/>
    <w:rsid w:val="003A4030"/>
    <w:rsid w:val="003A5A4A"/>
    <w:rsid w:val="003A5CAC"/>
    <w:rsid w:val="003A6546"/>
    <w:rsid w:val="003A72C0"/>
    <w:rsid w:val="003B6022"/>
    <w:rsid w:val="003C1907"/>
    <w:rsid w:val="003C2B41"/>
    <w:rsid w:val="003C59EB"/>
    <w:rsid w:val="003C7E58"/>
    <w:rsid w:val="003D062A"/>
    <w:rsid w:val="003D1E47"/>
    <w:rsid w:val="003D2F8E"/>
    <w:rsid w:val="003D717E"/>
    <w:rsid w:val="003F5AD3"/>
    <w:rsid w:val="003F6188"/>
    <w:rsid w:val="003F7B5B"/>
    <w:rsid w:val="003F7E69"/>
    <w:rsid w:val="00401EC4"/>
    <w:rsid w:val="00405148"/>
    <w:rsid w:val="00407308"/>
    <w:rsid w:val="00410736"/>
    <w:rsid w:val="00411422"/>
    <w:rsid w:val="00411FE8"/>
    <w:rsid w:val="0041410C"/>
    <w:rsid w:val="00421313"/>
    <w:rsid w:val="00426FD9"/>
    <w:rsid w:val="004308F1"/>
    <w:rsid w:val="00437E50"/>
    <w:rsid w:val="0044265D"/>
    <w:rsid w:val="00453188"/>
    <w:rsid w:val="00456795"/>
    <w:rsid w:val="00457E83"/>
    <w:rsid w:val="00460CCE"/>
    <w:rsid w:val="0046112B"/>
    <w:rsid w:val="004665A9"/>
    <w:rsid w:val="00481CB9"/>
    <w:rsid w:val="004858D3"/>
    <w:rsid w:val="0049745C"/>
    <w:rsid w:val="00497CE1"/>
    <w:rsid w:val="004A38EA"/>
    <w:rsid w:val="004B2C24"/>
    <w:rsid w:val="004D7CC9"/>
    <w:rsid w:val="004E7354"/>
    <w:rsid w:val="004E7F8F"/>
    <w:rsid w:val="004F4311"/>
    <w:rsid w:val="004F5EB0"/>
    <w:rsid w:val="00500957"/>
    <w:rsid w:val="005018D1"/>
    <w:rsid w:val="00502DB6"/>
    <w:rsid w:val="00507672"/>
    <w:rsid w:val="00511576"/>
    <w:rsid w:val="00517402"/>
    <w:rsid w:val="005176B8"/>
    <w:rsid w:val="00520473"/>
    <w:rsid w:val="005221D4"/>
    <w:rsid w:val="005262AD"/>
    <w:rsid w:val="005267FC"/>
    <w:rsid w:val="005427B1"/>
    <w:rsid w:val="00544F15"/>
    <w:rsid w:val="00550668"/>
    <w:rsid w:val="00552251"/>
    <w:rsid w:val="005542A7"/>
    <w:rsid w:val="00557BD4"/>
    <w:rsid w:val="0056567C"/>
    <w:rsid w:val="0056739D"/>
    <w:rsid w:val="00571399"/>
    <w:rsid w:val="0057310B"/>
    <w:rsid w:val="00573B2A"/>
    <w:rsid w:val="00576811"/>
    <w:rsid w:val="005777FC"/>
    <w:rsid w:val="00581FB8"/>
    <w:rsid w:val="00582B8E"/>
    <w:rsid w:val="00584D2D"/>
    <w:rsid w:val="00585FA2"/>
    <w:rsid w:val="005870BB"/>
    <w:rsid w:val="00594137"/>
    <w:rsid w:val="005975FC"/>
    <w:rsid w:val="005B112C"/>
    <w:rsid w:val="005B1836"/>
    <w:rsid w:val="005B2F98"/>
    <w:rsid w:val="005D304C"/>
    <w:rsid w:val="005D52EE"/>
    <w:rsid w:val="005E5137"/>
    <w:rsid w:val="005F292B"/>
    <w:rsid w:val="005F4C64"/>
    <w:rsid w:val="005F7CF7"/>
    <w:rsid w:val="00607397"/>
    <w:rsid w:val="00614EA3"/>
    <w:rsid w:val="00616CFD"/>
    <w:rsid w:val="00617A8F"/>
    <w:rsid w:val="00621364"/>
    <w:rsid w:val="00630397"/>
    <w:rsid w:val="0063283A"/>
    <w:rsid w:val="00633CA6"/>
    <w:rsid w:val="0063548A"/>
    <w:rsid w:val="00637FE8"/>
    <w:rsid w:val="00642618"/>
    <w:rsid w:val="00646E1F"/>
    <w:rsid w:val="0065167F"/>
    <w:rsid w:val="00652DA6"/>
    <w:rsid w:val="00656B1F"/>
    <w:rsid w:val="00656F6D"/>
    <w:rsid w:val="00661222"/>
    <w:rsid w:val="00661E0B"/>
    <w:rsid w:val="00663C3B"/>
    <w:rsid w:val="00680307"/>
    <w:rsid w:val="00684FF4"/>
    <w:rsid w:val="0068674E"/>
    <w:rsid w:val="006909F8"/>
    <w:rsid w:val="006949D5"/>
    <w:rsid w:val="00694E44"/>
    <w:rsid w:val="00696786"/>
    <w:rsid w:val="006A1D25"/>
    <w:rsid w:val="006A5D5C"/>
    <w:rsid w:val="006B1AF3"/>
    <w:rsid w:val="006B2692"/>
    <w:rsid w:val="006B66B8"/>
    <w:rsid w:val="006C4789"/>
    <w:rsid w:val="006C48C8"/>
    <w:rsid w:val="006C67BD"/>
    <w:rsid w:val="006D1559"/>
    <w:rsid w:val="006D2141"/>
    <w:rsid w:val="006D3A99"/>
    <w:rsid w:val="006D514F"/>
    <w:rsid w:val="006D5A3B"/>
    <w:rsid w:val="006E379A"/>
    <w:rsid w:val="006F0AC8"/>
    <w:rsid w:val="00706575"/>
    <w:rsid w:val="007119C5"/>
    <w:rsid w:val="00722EE2"/>
    <w:rsid w:val="0072326E"/>
    <w:rsid w:val="00724B90"/>
    <w:rsid w:val="00725D9D"/>
    <w:rsid w:val="007310A4"/>
    <w:rsid w:val="00734523"/>
    <w:rsid w:val="00734C41"/>
    <w:rsid w:val="00735553"/>
    <w:rsid w:val="00751386"/>
    <w:rsid w:val="007546B6"/>
    <w:rsid w:val="00755B71"/>
    <w:rsid w:val="0075732F"/>
    <w:rsid w:val="007643A4"/>
    <w:rsid w:val="0076523D"/>
    <w:rsid w:val="00771EFC"/>
    <w:rsid w:val="0077549A"/>
    <w:rsid w:val="0078099B"/>
    <w:rsid w:val="007914B4"/>
    <w:rsid w:val="007935F0"/>
    <w:rsid w:val="007A1842"/>
    <w:rsid w:val="007A218A"/>
    <w:rsid w:val="007A2DF2"/>
    <w:rsid w:val="007A477C"/>
    <w:rsid w:val="007A6768"/>
    <w:rsid w:val="007B25EF"/>
    <w:rsid w:val="007B32E6"/>
    <w:rsid w:val="007C0D74"/>
    <w:rsid w:val="007C33D2"/>
    <w:rsid w:val="007C7BCF"/>
    <w:rsid w:val="007D10BF"/>
    <w:rsid w:val="007D1CC0"/>
    <w:rsid w:val="007D6748"/>
    <w:rsid w:val="007E0F56"/>
    <w:rsid w:val="007E2F58"/>
    <w:rsid w:val="007F145B"/>
    <w:rsid w:val="007F15D1"/>
    <w:rsid w:val="007F45C7"/>
    <w:rsid w:val="00803C10"/>
    <w:rsid w:val="00810218"/>
    <w:rsid w:val="00811F1D"/>
    <w:rsid w:val="008164D2"/>
    <w:rsid w:val="00820C21"/>
    <w:rsid w:val="008211FF"/>
    <w:rsid w:val="008239AC"/>
    <w:rsid w:val="008242D5"/>
    <w:rsid w:val="008247EB"/>
    <w:rsid w:val="00833FA1"/>
    <w:rsid w:val="008349F1"/>
    <w:rsid w:val="00834F0C"/>
    <w:rsid w:val="008465E4"/>
    <w:rsid w:val="008504FD"/>
    <w:rsid w:val="00850AB9"/>
    <w:rsid w:val="00850BE9"/>
    <w:rsid w:val="008524E8"/>
    <w:rsid w:val="00853E11"/>
    <w:rsid w:val="00856619"/>
    <w:rsid w:val="00865F01"/>
    <w:rsid w:val="008663F4"/>
    <w:rsid w:val="00870143"/>
    <w:rsid w:val="0087046C"/>
    <w:rsid w:val="00870FBC"/>
    <w:rsid w:val="0087255D"/>
    <w:rsid w:val="008754EF"/>
    <w:rsid w:val="00876D30"/>
    <w:rsid w:val="00877A5E"/>
    <w:rsid w:val="008829FB"/>
    <w:rsid w:val="00883F81"/>
    <w:rsid w:val="0089022A"/>
    <w:rsid w:val="00890F41"/>
    <w:rsid w:val="0089111D"/>
    <w:rsid w:val="00892ACD"/>
    <w:rsid w:val="00894049"/>
    <w:rsid w:val="00895646"/>
    <w:rsid w:val="0089580B"/>
    <w:rsid w:val="008A15B4"/>
    <w:rsid w:val="008A4E68"/>
    <w:rsid w:val="008B009D"/>
    <w:rsid w:val="008B0ECB"/>
    <w:rsid w:val="008B3712"/>
    <w:rsid w:val="008B6576"/>
    <w:rsid w:val="008C5469"/>
    <w:rsid w:val="008C75A1"/>
    <w:rsid w:val="008D0ADC"/>
    <w:rsid w:val="008D14E5"/>
    <w:rsid w:val="008E2B65"/>
    <w:rsid w:val="008E662F"/>
    <w:rsid w:val="008F134F"/>
    <w:rsid w:val="008F3840"/>
    <w:rsid w:val="00902BF1"/>
    <w:rsid w:val="0090605B"/>
    <w:rsid w:val="00910ADE"/>
    <w:rsid w:val="009229C6"/>
    <w:rsid w:val="00925879"/>
    <w:rsid w:val="0092761F"/>
    <w:rsid w:val="00930DAD"/>
    <w:rsid w:val="009325AA"/>
    <w:rsid w:val="009329DB"/>
    <w:rsid w:val="009336CE"/>
    <w:rsid w:val="009347AC"/>
    <w:rsid w:val="0093651D"/>
    <w:rsid w:val="00946EA1"/>
    <w:rsid w:val="00947508"/>
    <w:rsid w:val="00947F32"/>
    <w:rsid w:val="0095159E"/>
    <w:rsid w:val="009564E3"/>
    <w:rsid w:val="00964548"/>
    <w:rsid w:val="0096454A"/>
    <w:rsid w:val="009669F0"/>
    <w:rsid w:val="00974F07"/>
    <w:rsid w:val="0098007D"/>
    <w:rsid w:val="0098366F"/>
    <w:rsid w:val="009859E0"/>
    <w:rsid w:val="009859FC"/>
    <w:rsid w:val="009864BB"/>
    <w:rsid w:val="00990924"/>
    <w:rsid w:val="00991389"/>
    <w:rsid w:val="00995E66"/>
    <w:rsid w:val="00996E31"/>
    <w:rsid w:val="009A73D9"/>
    <w:rsid w:val="009B3F03"/>
    <w:rsid w:val="009B58C6"/>
    <w:rsid w:val="009B7090"/>
    <w:rsid w:val="009C1EF4"/>
    <w:rsid w:val="009D0860"/>
    <w:rsid w:val="009D0CE5"/>
    <w:rsid w:val="009D202A"/>
    <w:rsid w:val="009D3C29"/>
    <w:rsid w:val="009D4FAE"/>
    <w:rsid w:val="009E2B60"/>
    <w:rsid w:val="009E5EE3"/>
    <w:rsid w:val="009E79E8"/>
    <w:rsid w:val="009F3E54"/>
    <w:rsid w:val="009F627E"/>
    <w:rsid w:val="009F6EE0"/>
    <w:rsid w:val="00A04CD7"/>
    <w:rsid w:val="00A07996"/>
    <w:rsid w:val="00A13E35"/>
    <w:rsid w:val="00A16749"/>
    <w:rsid w:val="00A20E61"/>
    <w:rsid w:val="00A24E49"/>
    <w:rsid w:val="00A26E7B"/>
    <w:rsid w:val="00A320C4"/>
    <w:rsid w:val="00A32188"/>
    <w:rsid w:val="00A35C2F"/>
    <w:rsid w:val="00A41BD1"/>
    <w:rsid w:val="00A41DD2"/>
    <w:rsid w:val="00A43325"/>
    <w:rsid w:val="00A43D49"/>
    <w:rsid w:val="00A443B5"/>
    <w:rsid w:val="00A45EEC"/>
    <w:rsid w:val="00A4791C"/>
    <w:rsid w:val="00A50D55"/>
    <w:rsid w:val="00A5203A"/>
    <w:rsid w:val="00A60297"/>
    <w:rsid w:val="00A60DD7"/>
    <w:rsid w:val="00A61318"/>
    <w:rsid w:val="00A66F70"/>
    <w:rsid w:val="00A728F0"/>
    <w:rsid w:val="00A74E02"/>
    <w:rsid w:val="00A80D70"/>
    <w:rsid w:val="00A81AC4"/>
    <w:rsid w:val="00A840B0"/>
    <w:rsid w:val="00A911AB"/>
    <w:rsid w:val="00A966FF"/>
    <w:rsid w:val="00AA0C32"/>
    <w:rsid w:val="00AA1CF9"/>
    <w:rsid w:val="00AA678F"/>
    <w:rsid w:val="00AB006E"/>
    <w:rsid w:val="00AB23DB"/>
    <w:rsid w:val="00AC1FE9"/>
    <w:rsid w:val="00AC4406"/>
    <w:rsid w:val="00AC5646"/>
    <w:rsid w:val="00AC5695"/>
    <w:rsid w:val="00AD2791"/>
    <w:rsid w:val="00AD4D27"/>
    <w:rsid w:val="00AD76BD"/>
    <w:rsid w:val="00AE072A"/>
    <w:rsid w:val="00AE078B"/>
    <w:rsid w:val="00AE5377"/>
    <w:rsid w:val="00AE7D10"/>
    <w:rsid w:val="00AF2386"/>
    <w:rsid w:val="00AF5037"/>
    <w:rsid w:val="00AF656A"/>
    <w:rsid w:val="00AF786F"/>
    <w:rsid w:val="00B027AF"/>
    <w:rsid w:val="00B13282"/>
    <w:rsid w:val="00B14570"/>
    <w:rsid w:val="00B16178"/>
    <w:rsid w:val="00B17B93"/>
    <w:rsid w:val="00B2391E"/>
    <w:rsid w:val="00B252E3"/>
    <w:rsid w:val="00B265A8"/>
    <w:rsid w:val="00B30290"/>
    <w:rsid w:val="00B32EE7"/>
    <w:rsid w:val="00B32F9E"/>
    <w:rsid w:val="00B33BDB"/>
    <w:rsid w:val="00B35C8E"/>
    <w:rsid w:val="00B37A32"/>
    <w:rsid w:val="00B516B4"/>
    <w:rsid w:val="00B526B2"/>
    <w:rsid w:val="00B52BA7"/>
    <w:rsid w:val="00B53110"/>
    <w:rsid w:val="00B6024B"/>
    <w:rsid w:val="00B60595"/>
    <w:rsid w:val="00B61203"/>
    <w:rsid w:val="00B63EAD"/>
    <w:rsid w:val="00B7143B"/>
    <w:rsid w:val="00B74DC7"/>
    <w:rsid w:val="00B7740B"/>
    <w:rsid w:val="00B778EC"/>
    <w:rsid w:val="00B8358C"/>
    <w:rsid w:val="00B83A08"/>
    <w:rsid w:val="00B843C2"/>
    <w:rsid w:val="00B849B1"/>
    <w:rsid w:val="00B875F1"/>
    <w:rsid w:val="00B95155"/>
    <w:rsid w:val="00BA01AE"/>
    <w:rsid w:val="00BA0975"/>
    <w:rsid w:val="00BA1F06"/>
    <w:rsid w:val="00BA6C09"/>
    <w:rsid w:val="00BB056F"/>
    <w:rsid w:val="00BB1707"/>
    <w:rsid w:val="00BB45F3"/>
    <w:rsid w:val="00BB481D"/>
    <w:rsid w:val="00BB58DD"/>
    <w:rsid w:val="00BB74BA"/>
    <w:rsid w:val="00BC06BB"/>
    <w:rsid w:val="00BC392B"/>
    <w:rsid w:val="00BC3F1A"/>
    <w:rsid w:val="00BC4E41"/>
    <w:rsid w:val="00BD015F"/>
    <w:rsid w:val="00BD0F69"/>
    <w:rsid w:val="00BD3997"/>
    <w:rsid w:val="00BD5389"/>
    <w:rsid w:val="00BE463B"/>
    <w:rsid w:val="00BE4F2B"/>
    <w:rsid w:val="00BF0968"/>
    <w:rsid w:val="00BF47F9"/>
    <w:rsid w:val="00BF6131"/>
    <w:rsid w:val="00BF61B9"/>
    <w:rsid w:val="00C02165"/>
    <w:rsid w:val="00C043D1"/>
    <w:rsid w:val="00C060BF"/>
    <w:rsid w:val="00C06384"/>
    <w:rsid w:val="00C0713C"/>
    <w:rsid w:val="00C07F8D"/>
    <w:rsid w:val="00C11730"/>
    <w:rsid w:val="00C12FDF"/>
    <w:rsid w:val="00C21A6E"/>
    <w:rsid w:val="00C21AFF"/>
    <w:rsid w:val="00C25098"/>
    <w:rsid w:val="00C372A8"/>
    <w:rsid w:val="00C51B7D"/>
    <w:rsid w:val="00C53A8A"/>
    <w:rsid w:val="00C5455E"/>
    <w:rsid w:val="00C5461D"/>
    <w:rsid w:val="00C54A38"/>
    <w:rsid w:val="00C56E6D"/>
    <w:rsid w:val="00C61312"/>
    <w:rsid w:val="00C61576"/>
    <w:rsid w:val="00C643A3"/>
    <w:rsid w:val="00C64562"/>
    <w:rsid w:val="00C6720D"/>
    <w:rsid w:val="00C67F2B"/>
    <w:rsid w:val="00C70B93"/>
    <w:rsid w:val="00C774A2"/>
    <w:rsid w:val="00C77FA8"/>
    <w:rsid w:val="00C825E1"/>
    <w:rsid w:val="00C84805"/>
    <w:rsid w:val="00C86968"/>
    <w:rsid w:val="00C92729"/>
    <w:rsid w:val="00C96950"/>
    <w:rsid w:val="00CA61AB"/>
    <w:rsid w:val="00CA6F82"/>
    <w:rsid w:val="00CB1CC9"/>
    <w:rsid w:val="00CB7E23"/>
    <w:rsid w:val="00CC2E52"/>
    <w:rsid w:val="00CC32A5"/>
    <w:rsid w:val="00CD1305"/>
    <w:rsid w:val="00CD1D24"/>
    <w:rsid w:val="00CD37A6"/>
    <w:rsid w:val="00CD6464"/>
    <w:rsid w:val="00CD7BB2"/>
    <w:rsid w:val="00CD7E5C"/>
    <w:rsid w:val="00CE1A01"/>
    <w:rsid w:val="00CF00AF"/>
    <w:rsid w:val="00CF1725"/>
    <w:rsid w:val="00CF6286"/>
    <w:rsid w:val="00D03B96"/>
    <w:rsid w:val="00D04B71"/>
    <w:rsid w:val="00D0647E"/>
    <w:rsid w:val="00D0659D"/>
    <w:rsid w:val="00D069B7"/>
    <w:rsid w:val="00D12136"/>
    <w:rsid w:val="00D12AC5"/>
    <w:rsid w:val="00D172AE"/>
    <w:rsid w:val="00D2191C"/>
    <w:rsid w:val="00D24062"/>
    <w:rsid w:val="00D27C03"/>
    <w:rsid w:val="00D30971"/>
    <w:rsid w:val="00D4245E"/>
    <w:rsid w:val="00D42B36"/>
    <w:rsid w:val="00D46360"/>
    <w:rsid w:val="00D479A1"/>
    <w:rsid w:val="00D50718"/>
    <w:rsid w:val="00D576D0"/>
    <w:rsid w:val="00D57C0F"/>
    <w:rsid w:val="00D60876"/>
    <w:rsid w:val="00D635EE"/>
    <w:rsid w:val="00D644E7"/>
    <w:rsid w:val="00D663A3"/>
    <w:rsid w:val="00D715D4"/>
    <w:rsid w:val="00D74D90"/>
    <w:rsid w:val="00D7705F"/>
    <w:rsid w:val="00D80E9B"/>
    <w:rsid w:val="00D81E61"/>
    <w:rsid w:val="00D86DA7"/>
    <w:rsid w:val="00D870DF"/>
    <w:rsid w:val="00D874F5"/>
    <w:rsid w:val="00D906B0"/>
    <w:rsid w:val="00D91A2C"/>
    <w:rsid w:val="00D9413F"/>
    <w:rsid w:val="00D954AF"/>
    <w:rsid w:val="00DA0606"/>
    <w:rsid w:val="00DA1001"/>
    <w:rsid w:val="00DA1AA5"/>
    <w:rsid w:val="00DB15DC"/>
    <w:rsid w:val="00DB5740"/>
    <w:rsid w:val="00DC5B0B"/>
    <w:rsid w:val="00DD0021"/>
    <w:rsid w:val="00DD723D"/>
    <w:rsid w:val="00DE217D"/>
    <w:rsid w:val="00DE52EF"/>
    <w:rsid w:val="00DE7790"/>
    <w:rsid w:val="00DF3490"/>
    <w:rsid w:val="00DF3DFC"/>
    <w:rsid w:val="00DF778D"/>
    <w:rsid w:val="00E020EF"/>
    <w:rsid w:val="00E022BC"/>
    <w:rsid w:val="00E07AAE"/>
    <w:rsid w:val="00E13BE5"/>
    <w:rsid w:val="00E16095"/>
    <w:rsid w:val="00E20CD4"/>
    <w:rsid w:val="00E21D2F"/>
    <w:rsid w:val="00E26F53"/>
    <w:rsid w:val="00E2730C"/>
    <w:rsid w:val="00E32A7E"/>
    <w:rsid w:val="00E34B74"/>
    <w:rsid w:val="00E44C50"/>
    <w:rsid w:val="00E475BF"/>
    <w:rsid w:val="00E51564"/>
    <w:rsid w:val="00E52349"/>
    <w:rsid w:val="00E54E31"/>
    <w:rsid w:val="00E57054"/>
    <w:rsid w:val="00E57372"/>
    <w:rsid w:val="00E60638"/>
    <w:rsid w:val="00E642D5"/>
    <w:rsid w:val="00E663A5"/>
    <w:rsid w:val="00E66C92"/>
    <w:rsid w:val="00E76178"/>
    <w:rsid w:val="00E8655D"/>
    <w:rsid w:val="00E9043C"/>
    <w:rsid w:val="00E92773"/>
    <w:rsid w:val="00EA4C7B"/>
    <w:rsid w:val="00EA5DBC"/>
    <w:rsid w:val="00EA77DF"/>
    <w:rsid w:val="00EB3D5D"/>
    <w:rsid w:val="00EC362A"/>
    <w:rsid w:val="00EC5157"/>
    <w:rsid w:val="00EC64B0"/>
    <w:rsid w:val="00EC658F"/>
    <w:rsid w:val="00ED0A01"/>
    <w:rsid w:val="00ED2853"/>
    <w:rsid w:val="00ED41BB"/>
    <w:rsid w:val="00ED673A"/>
    <w:rsid w:val="00EE1846"/>
    <w:rsid w:val="00EE22DE"/>
    <w:rsid w:val="00EF250A"/>
    <w:rsid w:val="00EF407E"/>
    <w:rsid w:val="00EF568C"/>
    <w:rsid w:val="00F04F13"/>
    <w:rsid w:val="00F148E6"/>
    <w:rsid w:val="00F24701"/>
    <w:rsid w:val="00F24B04"/>
    <w:rsid w:val="00F3420D"/>
    <w:rsid w:val="00F3440E"/>
    <w:rsid w:val="00F34ED9"/>
    <w:rsid w:val="00F4703C"/>
    <w:rsid w:val="00F473F5"/>
    <w:rsid w:val="00F47AC8"/>
    <w:rsid w:val="00F5087A"/>
    <w:rsid w:val="00F515BA"/>
    <w:rsid w:val="00F614CD"/>
    <w:rsid w:val="00F6694F"/>
    <w:rsid w:val="00F67AEF"/>
    <w:rsid w:val="00F74B00"/>
    <w:rsid w:val="00F76033"/>
    <w:rsid w:val="00F85790"/>
    <w:rsid w:val="00F904D0"/>
    <w:rsid w:val="00F96E54"/>
    <w:rsid w:val="00FA04A9"/>
    <w:rsid w:val="00FA2704"/>
    <w:rsid w:val="00FA45A6"/>
    <w:rsid w:val="00FB3A69"/>
    <w:rsid w:val="00FB753E"/>
    <w:rsid w:val="00FC0B05"/>
    <w:rsid w:val="00FC125C"/>
    <w:rsid w:val="00FC3DEF"/>
    <w:rsid w:val="00FC64A5"/>
    <w:rsid w:val="00FC6D38"/>
    <w:rsid w:val="00FC7835"/>
    <w:rsid w:val="00FD25EC"/>
    <w:rsid w:val="00FD3C4F"/>
    <w:rsid w:val="00FD6525"/>
    <w:rsid w:val="00FE32C5"/>
    <w:rsid w:val="00FE3F3B"/>
    <w:rsid w:val="00FE453A"/>
    <w:rsid w:val="00FF27CC"/>
    <w:rsid w:val="00FF3F15"/>
    <w:rsid w:val="00FF52CE"/>
    <w:rsid w:val="00FF695B"/>
    <w:rsid w:val="00FF70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07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4789"/>
  </w:style>
  <w:style w:type="character" w:customStyle="1" w:styleId="FootnoteTextChar">
    <w:name w:val="Footnote Text Char"/>
    <w:basedOn w:val="DefaultParagraphFont"/>
    <w:link w:val="FootnoteText"/>
    <w:uiPriority w:val="99"/>
    <w:rsid w:val="006C4789"/>
  </w:style>
  <w:style w:type="character" w:styleId="FootnoteReference">
    <w:name w:val="footnote reference"/>
    <w:basedOn w:val="DefaultParagraphFont"/>
    <w:uiPriority w:val="99"/>
    <w:unhideWhenUsed/>
    <w:rsid w:val="006C4789"/>
    <w:rPr>
      <w:vertAlign w:val="superscript"/>
    </w:rPr>
  </w:style>
  <w:style w:type="paragraph" w:styleId="Footer">
    <w:name w:val="footer"/>
    <w:basedOn w:val="Normal"/>
    <w:link w:val="FooterChar"/>
    <w:uiPriority w:val="99"/>
    <w:unhideWhenUsed/>
    <w:rsid w:val="00ED41BB"/>
    <w:pPr>
      <w:tabs>
        <w:tab w:val="center" w:pos="4536"/>
        <w:tab w:val="right" w:pos="9072"/>
      </w:tabs>
    </w:pPr>
  </w:style>
  <w:style w:type="character" w:customStyle="1" w:styleId="FooterChar">
    <w:name w:val="Footer Char"/>
    <w:basedOn w:val="DefaultParagraphFont"/>
    <w:link w:val="Footer"/>
    <w:uiPriority w:val="99"/>
    <w:rsid w:val="00ED41BB"/>
  </w:style>
  <w:style w:type="character" w:styleId="PageNumber">
    <w:name w:val="page number"/>
    <w:basedOn w:val="DefaultParagraphFont"/>
    <w:uiPriority w:val="99"/>
    <w:semiHidden/>
    <w:unhideWhenUsed/>
    <w:rsid w:val="00ED41BB"/>
  </w:style>
  <w:style w:type="table" w:styleId="TableGrid">
    <w:name w:val="Table Grid"/>
    <w:basedOn w:val="TableNormal"/>
    <w:uiPriority w:val="39"/>
    <w:rsid w:val="009F6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4B0"/>
    <w:pPr>
      <w:ind w:left="720"/>
      <w:contextualSpacing/>
    </w:pPr>
  </w:style>
  <w:style w:type="character" w:styleId="CommentReference">
    <w:name w:val="annotation reference"/>
    <w:basedOn w:val="DefaultParagraphFont"/>
    <w:uiPriority w:val="99"/>
    <w:semiHidden/>
    <w:unhideWhenUsed/>
    <w:rsid w:val="00FA2704"/>
    <w:rPr>
      <w:sz w:val="16"/>
      <w:szCs w:val="16"/>
    </w:rPr>
  </w:style>
  <w:style w:type="paragraph" w:styleId="CommentText">
    <w:name w:val="annotation text"/>
    <w:basedOn w:val="Normal"/>
    <w:link w:val="CommentTextChar"/>
    <w:uiPriority w:val="99"/>
    <w:semiHidden/>
    <w:unhideWhenUsed/>
    <w:rsid w:val="00FA2704"/>
    <w:rPr>
      <w:sz w:val="20"/>
      <w:szCs w:val="20"/>
    </w:rPr>
  </w:style>
  <w:style w:type="character" w:customStyle="1" w:styleId="CommentTextChar">
    <w:name w:val="Comment Text Char"/>
    <w:basedOn w:val="DefaultParagraphFont"/>
    <w:link w:val="CommentText"/>
    <w:uiPriority w:val="99"/>
    <w:semiHidden/>
    <w:rsid w:val="00FA2704"/>
    <w:rPr>
      <w:sz w:val="20"/>
      <w:szCs w:val="20"/>
    </w:rPr>
  </w:style>
  <w:style w:type="paragraph" w:styleId="CommentSubject">
    <w:name w:val="annotation subject"/>
    <w:basedOn w:val="CommentText"/>
    <w:next w:val="CommentText"/>
    <w:link w:val="CommentSubjectChar"/>
    <w:uiPriority w:val="99"/>
    <w:semiHidden/>
    <w:unhideWhenUsed/>
    <w:rsid w:val="00FA2704"/>
    <w:rPr>
      <w:b/>
      <w:bCs/>
    </w:rPr>
  </w:style>
  <w:style w:type="character" w:customStyle="1" w:styleId="CommentSubjectChar">
    <w:name w:val="Comment Subject Char"/>
    <w:basedOn w:val="CommentTextChar"/>
    <w:link w:val="CommentSubject"/>
    <w:uiPriority w:val="99"/>
    <w:semiHidden/>
    <w:rsid w:val="00FA2704"/>
    <w:rPr>
      <w:b/>
      <w:bCs/>
      <w:sz w:val="20"/>
      <w:szCs w:val="20"/>
    </w:rPr>
  </w:style>
  <w:style w:type="paragraph" w:styleId="BalloonText">
    <w:name w:val="Balloon Text"/>
    <w:basedOn w:val="Normal"/>
    <w:link w:val="BalloonTextChar"/>
    <w:uiPriority w:val="99"/>
    <w:semiHidden/>
    <w:unhideWhenUsed/>
    <w:rsid w:val="00FA2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704"/>
    <w:rPr>
      <w:rFonts w:ascii="Segoe UI" w:hAnsi="Segoe UI" w:cs="Segoe UI"/>
      <w:sz w:val="18"/>
      <w:szCs w:val="18"/>
    </w:rPr>
  </w:style>
  <w:style w:type="paragraph" w:styleId="Header">
    <w:name w:val="header"/>
    <w:basedOn w:val="Normal"/>
    <w:link w:val="HeaderChar"/>
    <w:uiPriority w:val="99"/>
    <w:unhideWhenUsed/>
    <w:rsid w:val="00B7740B"/>
    <w:pPr>
      <w:tabs>
        <w:tab w:val="center" w:pos="4513"/>
        <w:tab w:val="right" w:pos="9026"/>
      </w:tabs>
    </w:pPr>
  </w:style>
  <w:style w:type="character" w:customStyle="1" w:styleId="HeaderChar">
    <w:name w:val="Header Char"/>
    <w:basedOn w:val="DefaultParagraphFont"/>
    <w:link w:val="Header"/>
    <w:uiPriority w:val="99"/>
    <w:rsid w:val="00B7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779378">
      <w:bodyDiv w:val="1"/>
      <w:marLeft w:val="0"/>
      <w:marRight w:val="0"/>
      <w:marTop w:val="0"/>
      <w:marBottom w:val="0"/>
      <w:divBdr>
        <w:top w:val="none" w:sz="0" w:space="0" w:color="auto"/>
        <w:left w:val="none" w:sz="0" w:space="0" w:color="auto"/>
        <w:bottom w:val="none" w:sz="0" w:space="0" w:color="auto"/>
        <w:right w:val="none" w:sz="0" w:space="0" w:color="auto"/>
      </w:divBdr>
      <w:divsChild>
        <w:div w:id="1988125357">
          <w:marLeft w:val="0"/>
          <w:marRight w:val="0"/>
          <w:marTop w:val="0"/>
          <w:marBottom w:val="0"/>
          <w:divBdr>
            <w:top w:val="none" w:sz="0" w:space="0" w:color="auto"/>
            <w:left w:val="none" w:sz="0" w:space="0" w:color="auto"/>
            <w:bottom w:val="none" w:sz="0" w:space="0" w:color="auto"/>
            <w:right w:val="none" w:sz="0" w:space="0" w:color="auto"/>
          </w:divBdr>
          <w:divsChild>
            <w:div w:id="1239831090">
              <w:marLeft w:val="0"/>
              <w:marRight w:val="0"/>
              <w:marTop w:val="0"/>
              <w:marBottom w:val="0"/>
              <w:divBdr>
                <w:top w:val="none" w:sz="0" w:space="0" w:color="auto"/>
                <w:left w:val="none" w:sz="0" w:space="0" w:color="auto"/>
                <w:bottom w:val="none" w:sz="0" w:space="0" w:color="auto"/>
                <w:right w:val="none" w:sz="0" w:space="0" w:color="auto"/>
              </w:divBdr>
              <w:divsChild>
                <w:div w:id="11995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12568">
      <w:bodyDiv w:val="1"/>
      <w:marLeft w:val="0"/>
      <w:marRight w:val="0"/>
      <w:marTop w:val="0"/>
      <w:marBottom w:val="0"/>
      <w:divBdr>
        <w:top w:val="none" w:sz="0" w:space="0" w:color="auto"/>
        <w:left w:val="none" w:sz="0" w:space="0" w:color="auto"/>
        <w:bottom w:val="none" w:sz="0" w:space="0" w:color="auto"/>
        <w:right w:val="none" w:sz="0" w:space="0" w:color="auto"/>
      </w:divBdr>
      <w:divsChild>
        <w:div w:id="1184246588">
          <w:marLeft w:val="0"/>
          <w:marRight w:val="0"/>
          <w:marTop w:val="0"/>
          <w:marBottom w:val="0"/>
          <w:divBdr>
            <w:top w:val="none" w:sz="0" w:space="0" w:color="auto"/>
            <w:left w:val="none" w:sz="0" w:space="0" w:color="auto"/>
            <w:bottom w:val="none" w:sz="0" w:space="0" w:color="auto"/>
            <w:right w:val="none" w:sz="0" w:space="0" w:color="auto"/>
          </w:divBdr>
          <w:divsChild>
            <w:div w:id="84108810">
              <w:marLeft w:val="0"/>
              <w:marRight w:val="0"/>
              <w:marTop w:val="0"/>
              <w:marBottom w:val="0"/>
              <w:divBdr>
                <w:top w:val="none" w:sz="0" w:space="0" w:color="auto"/>
                <w:left w:val="none" w:sz="0" w:space="0" w:color="auto"/>
                <w:bottom w:val="none" w:sz="0" w:space="0" w:color="auto"/>
                <w:right w:val="none" w:sz="0" w:space="0" w:color="auto"/>
              </w:divBdr>
              <w:divsChild>
                <w:div w:id="6311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63835">
      <w:bodyDiv w:val="1"/>
      <w:marLeft w:val="0"/>
      <w:marRight w:val="0"/>
      <w:marTop w:val="0"/>
      <w:marBottom w:val="0"/>
      <w:divBdr>
        <w:top w:val="none" w:sz="0" w:space="0" w:color="auto"/>
        <w:left w:val="none" w:sz="0" w:space="0" w:color="auto"/>
        <w:bottom w:val="none" w:sz="0" w:space="0" w:color="auto"/>
        <w:right w:val="none" w:sz="0" w:space="0" w:color="auto"/>
      </w:divBdr>
      <w:divsChild>
        <w:div w:id="571090121">
          <w:marLeft w:val="0"/>
          <w:marRight w:val="0"/>
          <w:marTop w:val="0"/>
          <w:marBottom w:val="0"/>
          <w:divBdr>
            <w:top w:val="none" w:sz="0" w:space="0" w:color="auto"/>
            <w:left w:val="none" w:sz="0" w:space="0" w:color="auto"/>
            <w:bottom w:val="none" w:sz="0" w:space="0" w:color="auto"/>
            <w:right w:val="none" w:sz="0" w:space="0" w:color="auto"/>
          </w:divBdr>
          <w:divsChild>
            <w:div w:id="1440948587">
              <w:marLeft w:val="0"/>
              <w:marRight w:val="0"/>
              <w:marTop w:val="0"/>
              <w:marBottom w:val="0"/>
              <w:divBdr>
                <w:top w:val="none" w:sz="0" w:space="0" w:color="auto"/>
                <w:left w:val="none" w:sz="0" w:space="0" w:color="auto"/>
                <w:bottom w:val="none" w:sz="0" w:space="0" w:color="auto"/>
                <w:right w:val="none" w:sz="0" w:space="0" w:color="auto"/>
              </w:divBdr>
              <w:divsChild>
                <w:div w:id="15365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907011-591E-4F64-AECC-D458A68D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5234</Words>
  <Characters>28787</Characters>
  <Application>Microsoft Office Word</Application>
  <DocSecurity>0</DocSecurity>
  <Lines>239</Lines>
  <Paragraphs>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Arnt Mein</dc:creator>
  <cp:keywords/>
  <dc:description/>
  <cp:lastModifiedBy>Braak, Pascal</cp:lastModifiedBy>
  <cp:revision>2</cp:revision>
  <cp:lastPrinted>2017-03-15T14:07:00Z</cp:lastPrinted>
  <dcterms:created xsi:type="dcterms:W3CDTF">2019-11-13T14:30:00Z</dcterms:created>
  <dcterms:modified xsi:type="dcterms:W3CDTF">2019-11-13T14:30:00Z</dcterms:modified>
</cp:coreProperties>
</file>