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281F" w14:textId="58229DE1" w:rsidR="00DA308A" w:rsidRPr="002C4AEA" w:rsidRDefault="002C4AEA">
      <w:pPr>
        <w:rPr>
          <w:b/>
          <w:bCs/>
          <w:sz w:val="28"/>
          <w:szCs w:val="24"/>
        </w:rPr>
      </w:pPr>
      <w:proofErr w:type="spellStart"/>
      <w:r w:rsidRPr="002C4AEA">
        <w:rPr>
          <w:b/>
          <w:bCs/>
          <w:sz w:val="28"/>
          <w:szCs w:val="24"/>
        </w:rPr>
        <w:t>Supplementary</w:t>
      </w:r>
      <w:proofErr w:type="spellEnd"/>
      <w:r w:rsidRPr="002C4AEA">
        <w:rPr>
          <w:b/>
          <w:bCs/>
          <w:sz w:val="28"/>
          <w:szCs w:val="24"/>
        </w:rPr>
        <w:t xml:space="preserve"> </w:t>
      </w:r>
      <w:proofErr w:type="spellStart"/>
      <w:r w:rsidRPr="002C4AEA">
        <w:rPr>
          <w:b/>
          <w:bCs/>
          <w:sz w:val="28"/>
          <w:szCs w:val="24"/>
        </w:rPr>
        <w:t>materials</w:t>
      </w:r>
      <w:proofErr w:type="spellEnd"/>
      <w:r w:rsidRPr="002C4AEA">
        <w:rPr>
          <w:b/>
          <w:bCs/>
          <w:sz w:val="28"/>
          <w:szCs w:val="24"/>
        </w:rPr>
        <w:t xml:space="preserve"> – </w:t>
      </w:r>
      <w:proofErr w:type="spellStart"/>
      <w:r w:rsidRPr="002C4AEA">
        <w:rPr>
          <w:b/>
          <w:bCs/>
          <w:sz w:val="28"/>
          <w:szCs w:val="24"/>
        </w:rPr>
        <w:t>Tables</w:t>
      </w:r>
      <w:proofErr w:type="spellEnd"/>
      <w:r w:rsidRPr="002C4AEA">
        <w:rPr>
          <w:b/>
          <w:bCs/>
          <w:sz w:val="28"/>
          <w:szCs w:val="24"/>
        </w:rPr>
        <w:t xml:space="preserve"> </w:t>
      </w:r>
    </w:p>
    <w:p w14:paraId="5A207554" w14:textId="77777777" w:rsidR="002C4AEA" w:rsidRPr="00793C68" w:rsidRDefault="002C4AEA" w:rsidP="002C4AEA">
      <w:pPr>
        <w:tabs>
          <w:tab w:val="left" w:pos="1935"/>
        </w:tabs>
        <w:spacing w:line="240" w:lineRule="auto"/>
        <w:rPr>
          <w:rFonts w:cs="Times New Roman"/>
          <w:szCs w:val="24"/>
          <w:lang w:val="en-GB"/>
        </w:rPr>
      </w:pPr>
      <w:r w:rsidRPr="003770FA">
        <w:rPr>
          <w:rFonts w:cs="Times New Roman"/>
          <w:b/>
          <w:bCs/>
          <w:szCs w:val="24"/>
          <w:lang w:val="en-GB"/>
        </w:rPr>
        <w:t>Table S1</w:t>
      </w:r>
      <w:r w:rsidRPr="00793C68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br/>
      </w:r>
      <w:r w:rsidRPr="00793C68">
        <w:rPr>
          <w:rFonts w:cs="Times New Roman"/>
          <w:szCs w:val="24"/>
          <w:lang w:val="en-GB"/>
        </w:rPr>
        <w:t>Reasons for non-completion T1 (N=473) and T2 (N=332)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956"/>
        <w:gridCol w:w="1843"/>
        <w:gridCol w:w="1933"/>
      </w:tblGrid>
      <w:tr w:rsidR="002C4AEA" w:rsidRPr="00793C68" w14:paraId="2D97AE1A" w14:textId="77777777" w:rsidTr="0014141F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2A420A62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Reasons for non-completion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951689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T1 (%)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6C8E63CD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T2 (%)</w:t>
            </w:r>
          </w:p>
        </w:tc>
      </w:tr>
      <w:tr w:rsidR="002C4AEA" w:rsidRPr="00793C68" w14:paraId="60604B97" w14:textId="77777777" w:rsidTr="0014141F">
        <w:trPr>
          <w:trHeight w:val="581"/>
        </w:trPr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2EFEF463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(Temporary) positive outflow (e.g., school, work or specialized care)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F244BF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11.3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3A441181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11.3</w:t>
            </w:r>
          </w:p>
        </w:tc>
      </w:tr>
      <w:tr w:rsidR="002C4AEA" w:rsidRPr="00793C68" w14:paraId="334FB865" w14:textId="77777777" w:rsidTr="0014141F">
        <w:tc>
          <w:tcPr>
            <w:tcW w:w="5240" w:type="dxa"/>
            <w:gridSpan w:val="2"/>
          </w:tcPr>
          <w:p w14:paraId="6940D5DE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(Temporary) loss of contact</w:t>
            </w:r>
          </w:p>
        </w:tc>
        <w:tc>
          <w:tcPr>
            <w:tcW w:w="1843" w:type="dxa"/>
          </w:tcPr>
          <w:p w14:paraId="775982B5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28.6</w:t>
            </w:r>
          </w:p>
        </w:tc>
        <w:tc>
          <w:tcPr>
            <w:tcW w:w="1933" w:type="dxa"/>
          </w:tcPr>
          <w:p w14:paraId="3FF84A85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37.2</w:t>
            </w:r>
          </w:p>
        </w:tc>
      </w:tr>
      <w:tr w:rsidR="002C4AEA" w:rsidRPr="00E40F8A" w14:paraId="16342977" w14:textId="77777777" w:rsidTr="0014141F">
        <w:tc>
          <w:tcPr>
            <w:tcW w:w="5240" w:type="dxa"/>
            <w:gridSpan w:val="2"/>
          </w:tcPr>
          <w:p w14:paraId="1461B9A2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 xml:space="preserve">Ssw’ers did not ask respondent to </w:t>
            </w:r>
            <w:r w:rsidRPr="00793C68">
              <w:rPr>
                <w:rFonts w:cs="Times New Roman"/>
                <w:szCs w:val="24"/>
                <w:lang w:val="en-GB"/>
              </w:rPr>
              <w:t>participate</w:t>
            </w:r>
          </w:p>
        </w:tc>
        <w:tc>
          <w:tcPr>
            <w:tcW w:w="1843" w:type="dxa"/>
          </w:tcPr>
          <w:p w14:paraId="041B4583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1933" w:type="dxa"/>
          </w:tcPr>
          <w:p w14:paraId="254654E9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</w:p>
        </w:tc>
      </w:tr>
      <w:tr w:rsidR="002C4AEA" w:rsidRPr="00793C68" w14:paraId="7BE5EC88" w14:textId="77777777" w:rsidTr="0014141F">
        <w:tc>
          <w:tcPr>
            <w:tcW w:w="284" w:type="dxa"/>
          </w:tcPr>
          <w:p w14:paraId="6A278442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0909C381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Ssw’er did not know which ssw-client completed T0</w:t>
            </w:r>
          </w:p>
        </w:tc>
        <w:tc>
          <w:tcPr>
            <w:tcW w:w="1843" w:type="dxa"/>
          </w:tcPr>
          <w:p w14:paraId="569DD213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22.6</w:t>
            </w:r>
          </w:p>
        </w:tc>
        <w:tc>
          <w:tcPr>
            <w:tcW w:w="1933" w:type="dxa"/>
          </w:tcPr>
          <w:p w14:paraId="7F91152A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17.1</w:t>
            </w:r>
          </w:p>
        </w:tc>
      </w:tr>
      <w:tr w:rsidR="002C4AEA" w:rsidRPr="00793C68" w14:paraId="64C5195B" w14:textId="77777777" w:rsidTr="0014141F">
        <w:tc>
          <w:tcPr>
            <w:tcW w:w="284" w:type="dxa"/>
          </w:tcPr>
          <w:p w14:paraId="3EB01C69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053EBD7E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Organisational change (job change ssw’er or ssw’er transferred to another team)</w:t>
            </w:r>
          </w:p>
        </w:tc>
        <w:tc>
          <w:tcPr>
            <w:tcW w:w="1843" w:type="dxa"/>
          </w:tcPr>
          <w:p w14:paraId="52F839FA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11.8</w:t>
            </w:r>
          </w:p>
        </w:tc>
        <w:tc>
          <w:tcPr>
            <w:tcW w:w="1933" w:type="dxa"/>
          </w:tcPr>
          <w:p w14:paraId="17D5164C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11.8</w:t>
            </w:r>
          </w:p>
        </w:tc>
      </w:tr>
      <w:tr w:rsidR="002C4AEA" w:rsidRPr="00793C68" w14:paraId="49925BF8" w14:textId="77777777" w:rsidTr="0014141F">
        <w:tc>
          <w:tcPr>
            <w:tcW w:w="284" w:type="dxa"/>
          </w:tcPr>
          <w:p w14:paraId="786A974A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2C3AECEB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Respondent could not participate in study (e.g. ssw-client in rehabilitation centre or detention)</w:t>
            </w:r>
          </w:p>
        </w:tc>
        <w:tc>
          <w:tcPr>
            <w:tcW w:w="1843" w:type="dxa"/>
          </w:tcPr>
          <w:p w14:paraId="6B9FB0BC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3.9</w:t>
            </w:r>
          </w:p>
        </w:tc>
        <w:tc>
          <w:tcPr>
            <w:tcW w:w="1933" w:type="dxa"/>
          </w:tcPr>
          <w:p w14:paraId="684C136E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2.4</w:t>
            </w:r>
          </w:p>
        </w:tc>
      </w:tr>
      <w:tr w:rsidR="002C4AEA" w:rsidRPr="00793C68" w14:paraId="64E783DE" w14:textId="77777777" w:rsidTr="0014141F">
        <w:tc>
          <w:tcPr>
            <w:tcW w:w="284" w:type="dxa"/>
          </w:tcPr>
          <w:p w14:paraId="0EDF2059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20E8B559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Timing was not right to ask client to participate,  e.g. due to tension in relationship with ssw-client</w:t>
            </w:r>
          </w:p>
        </w:tc>
        <w:tc>
          <w:tcPr>
            <w:tcW w:w="1843" w:type="dxa"/>
          </w:tcPr>
          <w:p w14:paraId="1A81E7F5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1.1</w:t>
            </w:r>
          </w:p>
        </w:tc>
        <w:tc>
          <w:tcPr>
            <w:tcW w:w="1933" w:type="dxa"/>
          </w:tcPr>
          <w:p w14:paraId="04AC6691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1.2</w:t>
            </w:r>
          </w:p>
        </w:tc>
      </w:tr>
      <w:tr w:rsidR="002C4AEA" w:rsidRPr="00793C68" w14:paraId="0F5B028C" w14:textId="77777777" w:rsidTr="0014141F">
        <w:tc>
          <w:tcPr>
            <w:tcW w:w="5240" w:type="dxa"/>
            <w:gridSpan w:val="2"/>
          </w:tcPr>
          <w:p w14:paraId="20BAC885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 xml:space="preserve">Refusal (lack of time or motivation ssw-client) </w:t>
            </w:r>
          </w:p>
        </w:tc>
        <w:tc>
          <w:tcPr>
            <w:tcW w:w="1843" w:type="dxa"/>
          </w:tcPr>
          <w:p w14:paraId="38AB6D3C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18.8</w:t>
            </w:r>
          </w:p>
        </w:tc>
        <w:tc>
          <w:tcPr>
            <w:tcW w:w="1933" w:type="dxa"/>
          </w:tcPr>
          <w:p w14:paraId="238A6540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17.9</w:t>
            </w:r>
          </w:p>
        </w:tc>
      </w:tr>
      <w:tr w:rsidR="002C4AEA" w:rsidRPr="00793C68" w14:paraId="64503620" w14:textId="77777777" w:rsidTr="0014141F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317D747A" w14:textId="77777777" w:rsidR="002C4AEA" w:rsidRPr="00793C68" w:rsidRDefault="002C4AEA" w:rsidP="0014141F">
            <w:pPr>
              <w:suppressAutoHyphens/>
              <w:autoSpaceDN w:val="0"/>
              <w:spacing w:line="480" w:lineRule="auto"/>
              <w:textAlignment w:val="baseline"/>
              <w:rPr>
                <w:rFonts w:eastAsia="Calibri" w:cs="Times New Roman"/>
                <w:szCs w:val="24"/>
                <w:lang w:val="en-GB"/>
              </w:rPr>
            </w:pPr>
            <w:r w:rsidRPr="00793C68">
              <w:rPr>
                <w:rFonts w:eastAsia="Calibri" w:cs="Times New Roman"/>
                <w:szCs w:val="24"/>
                <w:lang w:val="en-GB"/>
              </w:rPr>
              <w:t>Other (e.g., ssw-client passed away</w:t>
            </w:r>
            <w:r w:rsidRPr="00793C68">
              <w:rPr>
                <w:rFonts w:cs="Times New Roman"/>
                <w:szCs w:val="24"/>
                <w:lang w:val="en-GB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EA27F7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0.2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160BF8B0" w14:textId="77777777" w:rsidR="002C4AEA" w:rsidRPr="00793C68" w:rsidRDefault="002C4AEA" w:rsidP="0014141F">
            <w:pPr>
              <w:spacing w:line="480" w:lineRule="auto"/>
              <w:rPr>
                <w:rFonts w:cs="Times New Roman"/>
                <w:szCs w:val="24"/>
                <w:lang w:val="en-GB"/>
              </w:rPr>
            </w:pPr>
            <w:r w:rsidRPr="00793C68">
              <w:rPr>
                <w:rFonts w:cs="Times New Roman"/>
                <w:szCs w:val="24"/>
                <w:lang w:val="en-GB"/>
              </w:rPr>
              <w:t>0.4</w:t>
            </w:r>
          </w:p>
        </w:tc>
      </w:tr>
    </w:tbl>
    <w:p w14:paraId="743960AF" w14:textId="77777777" w:rsidR="002C4AEA" w:rsidRPr="00793C68" w:rsidRDefault="002C4AEA" w:rsidP="002C4AEA">
      <w:pPr>
        <w:tabs>
          <w:tab w:val="left" w:pos="900"/>
        </w:tabs>
        <w:spacing w:line="480" w:lineRule="auto"/>
        <w:rPr>
          <w:lang w:val="en-GB"/>
        </w:rPr>
      </w:pPr>
    </w:p>
    <w:p w14:paraId="583F0B77" w14:textId="77777777" w:rsidR="002C4AEA" w:rsidRDefault="002C4AEA" w:rsidP="002C4AEA">
      <w:pPr>
        <w:rPr>
          <w:lang w:val="en-GB"/>
        </w:rPr>
      </w:pPr>
      <w:r w:rsidRPr="007072E3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S2</w:t>
      </w:r>
      <w:r>
        <w:rPr>
          <w:lang w:val="en-GB"/>
        </w:rPr>
        <w:br/>
        <w:t>All items for working relationship (original in Dutch)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4AEA" w:rsidRPr="00E40F8A" w14:paraId="0D57B402" w14:textId="77777777" w:rsidTr="0014141F">
        <w:tc>
          <w:tcPr>
            <w:tcW w:w="9016" w:type="dxa"/>
          </w:tcPr>
          <w:p w14:paraId="05A7B1AC" w14:textId="77777777" w:rsidR="002C4AEA" w:rsidRPr="00E60E67" w:rsidRDefault="002C4AEA" w:rsidP="0014141F">
            <w:pPr>
              <w:rPr>
                <w:szCs w:val="24"/>
                <w:lang w:val="en-US"/>
              </w:rPr>
            </w:pPr>
            <w:r w:rsidRPr="00E60E67">
              <w:rPr>
                <w:szCs w:val="24"/>
                <w:lang w:val="en-US"/>
              </w:rPr>
              <w:t>The worker</w:t>
            </w:r>
            <w:r>
              <w:rPr>
                <w:szCs w:val="24"/>
                <w:lang w:val="en-US"/>
              </w:rPr>
              <w:t xml:space="preserve"> </w:t>
            </w:r>
            <w:r w:rsidRPr="00E60E67">
              <w:rPr>
                <w:szCs w:val="24"/>
                <w:lang w:val="en-US"/>
              </w:rPr>
              <w:t>has an open mind</w:t>
            </w:r>
          </w:p>
        </w:tc>
      </w:tr>
      <w:tr w:rsidR="002C4AEA" w:rsidRPr="00E40F8A" w14:paraId="6196BBAF" w14:textId="77777777" w:rsidTr="0014141F">
        <w:tc>
          <w:tcPr>
            <w:tcW w:w="9016" w:type="dxa"/>
          </w:tcPr>
          <w:p w14:paraId="78A15DC1" w14:textId="77777777" w:rsidR="002C4AEA" w:rsidRPr="00E60E67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acknowledges how I feel</w:t>
            </w:r>
          </w:p>
        </w:tc>
      </w:tr>
      <w:tr w:rsidR="002C4AEA" w:rsidRPr="00E40F8A" w14:paraId="32D5DF2E" w14:textId="77777777" w:rsidTr="0014141F">
        <w:tc>
          <w:tcPr>
            <w:tcW w:w="9016" w:type="dxa"/>
          </w:tcPr>
          <w:p w14:paraId="6EAB0B1A" w14:textId="77777777" w:rsidR="002C4AEA" w:rsidRPr="00DF09D7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looks me up</w:t>
            </w:r>
          </w:p>
        </w:tc>
      </w:tr>
      <w:tr w:rsidR="002C4AEA" w:rsidRPr="00E40F8A" w14:paraId="0D5F2EF0" w14:textId="77777777" w:rsidTr="0014141F">
        <w:tc>
          <w:tcPr>
            <w:tcW w:w="9016" w:type="dxa"/>
          </w:tcPr>
          <w:p w14:paraId="51DFAF91" w14:textId="77777777" w:rsidR="002C4AEA" w:rsidRPr="00E60E67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considers what I want to learn</w:t>
            </w:r>
          </w:p>
        </w:tc>
      </w:tr>
      <w:tr w:rsidR="002C4AEA" w:rsidRPr="00E40F8A" w14:paraId="4A6DFAB1" w14:textId="77777777" w:rsidTr="0014141F">
        <w:tc>
          <w:tcPr>
            <w:tcW w:w="9016" w:type="dxa"/>
          </w:tcPr>
          <w:p w14:paraId="179857D3" w14:textId="77777777" w:rsidR="002C4AEA" w:rsidRPr="00DF09D7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has a talk with me when I overstep a boundary</w:t>
            </w:r>
          </w:p>
        </w:tc>
      </w:tr>
      <w:tr w:rsidR="002C4AEA" w:rsidRPr="00E40F8A" w14:paraId="769CF6FE" w14:textId="77777777" w:rsidTr="0014141F">
        <w:tc>
          <w:tcPr>
            <w:tcW w:w="9016" w:type="dxa"/>
          </w:tcPr>
          <w:p w14:paraId="78372540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shows understanding for what I do or say</w:t>
            </w:r>
          </w:p>
        </w:tc>
      </w:tr>
      <w:tr w:rsidR="002C4AEA" w:rsidRPr="00E40F8A" w14:paraId="1AD9333F" w14:textId="77777777" w:rsidTr="0014141F">
        <w:tc>
          <w:tcPr>
            <w:tcW w:w="9016" w:type="dxa"/>
          </w:tcPr>
          <w:p w14:paraId="7EBC5A17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knows how to reach me</w:t>
            </w:r>
          </w:p>
        </w:tc>
      </w:tr>
      <w:tr w:rsidR="002C4AEA" w:rsidRPr="00E40F8A" w14:paraId="39ECC698" w14:textId="77777777" w:rsidTr="0014141F">
        <w:tc>
          <w:tcPr>
            <w:tcW w:w="9016" w:type="dxa"/>
          </w:tcPr>
          <w:p w14:paraId="198FBA5A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considers my problems or questions</w:t>
            </w:r>
          </w:p>
        </w:tc>
      </w:tr>
      <w:tr w:rsidR="002C4AEA" w:rsidRPr="00E40F8A" w14:paraId="4121E4F8" w14:textId="77777777" w:rsidTr="0014141F">
        <w:tc>
          <w:tcPr>
            <w:tcW w:w="9016" w:type="dxa"/>
          </w:tcPr>
          <w:p w14:paraId="4B8B7C07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seems to be really genuine</w:t>
            </w:r>
          </w:p>
        </w:tc>
      </w:tr>
      <w:tr w:rsidR="002C4AEA" w:rsidRPr="00E40F8A" w14:paraId="2F502B64" w14:textId="77777777" w:rsidTr="0014141F">
        <w:tc>
          <w:tcPr>
            <w:tcW w:w="9016" w:type="dxa"/>
          </w:tcPr>
          <w:p w14:paraId="4C59E26C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takes what I say or do seriously</w:t>
            </w:r>
          </w:p>
        </w:tc>
      </w:tr>
      <w:tr w:rsidR="002C4AEA" w:rsidRPr="00E40F8A" w14:paraId="005A07A9" w14:textId="77777777" w:rsidTr="0014141F">
        <w:tc>
          <w:tcPr>
            <w:tcW w:w="9016" w:type="dxa"/>
          </w:tcPr>
          <w:p w14:paraId="319D7338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The worker </w:t>
            </w:r>
            <w:r w:rsidRPr="00E60E67">
              <w:rPr>
                <w:szCs w:val="24"/>
                <w:lang w:val="en-US"/>
              </w:rPr>
              <w:t>is there for me when I need it</w:t>
            </w:r>
          </w:p>
        </w:tc>
      </w:tr>
      <w:tr w:rsidR="002C4AEA" w:rsidRPr="00E40F8A" w14:paraId="127AF82C" w14:textId="77777777" w:rsidTr="0014141F">
        <w:tc>
          <w:tcPr>
            <w:tcW w:w="9016" w:type="dxa"/>
          </w:tcPr>
          <w:p w14:paraId="18E4897B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considers what I find difficult</w:t>
            </w:r>
          </w:p>
        </w:tc>
      </w:tr>
      <w:tr w:rsidR="002C4AEA" w:rsidRPr="00E40F8A" w14:paraId="242B6573" w14:textId="77777777" w:rsidTr="0014141F">
        <w:tc>
          <w:tcPr>
            <w:tcW w:w="9016" w:type="dxa"/>
          </w:tcPr>
          <w:p w14:paraId="128F7294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is easy to reach</w:t>
            </w:r>
          </w:p>
        </w:tc>
      </w:tr>
      <w:tr w:rsidR="002C4AEA" w:rsidRPr="00E40F8A" w14:paraId="345491D5" w14:textId="77777777" w:rsidTr="0014141F">
        <w:tc>
          <w:tcPr>
            <w:tcW w:w="9016" w:type="dxa"/>
          </w:tcPr>
          <w:p w14:paraId="2FDFB5F7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has a way of doing where I feel at ease</w:t>
            </w:r>
          </w:p>
        </w:tc>
      </w:tr>
      <w:tr w:rsidR="002C4AEA" w:rsidRPr="00E40F8A" w14:paraId="53828618" w14:textId="77777777" w:rsidTr="0014141F">
        <w:tc>
          <w:tcPr>
            <w:tcW w:w="9016" w:type="dxa"/>
          </w:tcPr>
          <w:p w14:paraId="2B6B6EB3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has a way of doing where I feel at ease</w:t>
            </w:r>
          </w:p>
        </w:tc>
      </w:tr>
      <w:tr w:rsidR="002C4AEA" w:rsidRPr="00E40F8A" w14:paraId="49A77D2A" w14:textId="77777777" w:rsidTr="0014141F">
        <w:tc>
          <w:tcPr>
            <w:tcW w:w="9016" w:type="dxa"/>
          </w:tcPr>
          <w:p w14:paraId="515F21FB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considers my situation (for example at home, at school or in the neighborhood)</w:t>
            </w:r>
          </w:p>
        </w:tc>
      </w:tr>
      <w:tr w:rsidR="002C4AEA" w:rsidRPr="00E40F8A" w14:paraId="06FF8A40" w14:textId="77777777" w:rsidTr="0014141F">
        <w:tc>
          <w:tcPr>
            <w:tcW w:w="9016" w:type="dxa"/>
          </w:tcPr>
          <w:p w14:paraId="39798C13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backs me up when I need it</w:t>
            </w:r>
          </w:p>
        </w:tc>
      </w:tr>
      <w:tr w:rsidR="002C4AEA" w:rsidRPr="00E40F8A" w14:paraId="5E1F149D" w14:textId="77777777" w:rsidTr="0014141F">
        <w:tc>
          <w:tcPr>
            <w:tcW w:w="9016" w:type="dxa"/>
          </w:tcPr>
          <w:p w14:paraId="14676875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sees how my live is</w:t>
            </w:r>
          </w:p>
        </w:tc>
      </w:tr>
      <w:tr w:rsidR="002C4AEA" w:rsidRPr="00E40F8A" w14:paraId="2273CFAD" w14:textId="77777777" w:rsidTr="0014141F">
        <w:tc>
          <w:tcPr>
            <w:tcW w:w="9016" w:type="dxa"/>
          </w:tcPr>
          <w:p w14:paraId="6966A925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gives me space to be who I am</w:t>
            </w:r>
          </w:p>
        </w:tc>
      </w:tr>
      <w:tr w:rsidR="002C4AEA" w:rsidRPr="00E40F8A" w14:paraId="369B4F89" w14:textId="77777777" w:rsidTr="0014141F">
        <w:tc>
          <w:tcPr>
            <w:tcW w:w="9016" w:type="dxa"/>
          </w:tcPr>
          <w:p w14:paraId="4FF2F484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 xml:space="preserve">sympathizes with me and my life </w:t>
            </w:r>
          </w:p>
        </w:tc>
      </w:tr>
      <w:tr w:rsidR="002C4AEA" w:rsidRPr="00E40F8A" w14:paraId="617BFE0C" w14:textId="77777777" w:rsidTr="0014141F">
        <w:tc>
          <w:tcPr>
            <w:tcW w:w="9016" w:type="dxa"/>
          </w:tcPr>
          <w:p w14:paraId="7F46FD9A" w14:textId="77777777" w:rsidR="002C4AEA" w:rsidRDefault="002C4AEA" w:rsidP="0014141F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The worker </w:t>
            </w:r>
            <w:r w:rsidRPr="00E60E67">
              <w:rPr>
                <w:szCs w:val="24"/>
                <w:lang w:val="en-US"/>
              </w:rPr>
              <w:t>returns to conversations we’ve had</w:t>
            </w:r>
          </w:p>
        </w:tc>
      </w:tr>
    </w:tbl>
    <w:p w14:paraId="6CCDEAFF" w14:textId="77777777" w:rsidR="002C4AEA" w:rsidRDefault="002C4AEA" w:rsidP="002C4AEA">
      <w:pPr>
        <w:rPr>
          <w:lang w:val="en-GB"/>
        </w:rPr>
      </w:pPr>
    </w:p>
    <w:p w14:paraId="32BD3445" w14:textId="77777777" w:rsidR="002C4AEA" w:rsidRPr="00E8123D" w:rsidRDefault="002C4AEA" w:rsidP="002C4AEA">
      <w:pPr>
        <w:rPr>
          <w:lang w:val="en-GB"/>
        </w:rPr>
      </w:pPr>
      <w:r w:rsidRPr="00E8123D">
        <w:rPr>
          <w:b/>
          <w:bCs/>
          <w:lang w:val="en-GB"/>
        </w:rPr>
        <w:t>Table S3</w:t>
      </w:r>
      <w:r>
        <w:rPr>
          <w:lang w:val="en-GB"/>
        </w:rPr>
        <w:t xml:space="preserve"> </w:t>
      </w:r>
      <w:r>
        <w:rPr>
          <w:iCs/>
          <w:lang w:val="en-GB"/>
        </w:rPr>
        <w:br/>
      </w:r>
      <w:r w:rsidRPr="007072E3">
        <w:rPr>
          <w:iCs/>
          <w:szCs w:val="24"/>
          <w:lang w:val="en-US"/>
        </w:rPr>
        <w:t xml:space="preserve">Completers versus Non-completers T0-T1 and T0-T2: results of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Cs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Cs w:val="24"/>
                <w:lang w:val="en-GB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Cs w:val="24"/>
                <w:lang w:val="en-GB"/>
              </w:rPr>
              <m:t>2</m:t>
            </m:r>
          </m:sup>
        </m:sSup>
      </m:oMath>
      <w:r w:rsidRPr="007072E3">
        <w:rPr>
          <w:rFonts w:eastAsia="Calibri" w:cs="Times New Roman"/>
          <w:iCs/>
          <w:szCs w:val="24"/>
          <w:vertAlign w:val="superscript"/>
          <w:lang w:val="en-GB"/>
        </w:rPr>
        <w:t xml:space="preserve"> </w:t>
      </w:r>
      <w:r w:rsidRPr="007072E3">
        <w:rPr>
          <w:iCs/>
          <w:szCs w:val="24"/>
          <w:lang w:val="en-GB"/>
        </w:rPr>
        <w:t>analyses</w:t>
      </w:r>
    </w:p>
    <w:tbl>
      <w:tblPr>
        <w:tblStyle w:val="TableGrid2"/>
        <w:tblW w:w="102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276"/>
        <w:gridCol w:w="1276"/>
        <w:gridCol w:w="850"/>
        <w:gridCol w:w="851"/>
        <w:gridCol w:w="1276"/>
        <w:gridCol w:w="1275"/>
        <w:gridCol w:w="851"/>
        <w:gridCol w:w="851"/>
      </w:tblGrid>
      <w:tr w:rsidR="002C4AEA" w:rsidRPr="008C744B" w14:paraId="7FAC654B" w14:textId="77777777" w:rsidTr="0014141F">
        <w:trPr>
          <w:trHeight w:val="266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B09D1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46D18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Completers</w:t>
            </w:r>
          </w:p>
          <w:p w14:paraId="28DA073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3861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Non-completers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D357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A01A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D7C0B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Completers</w:t>
            </w:r>
          </w:p>
          <w:p w14:paraId="12BC83E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T2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CB01F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Non-completers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D7D7D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3F149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4AA0BF23" w14:textId="77777777" w:rsidTr="0014141F">
        <w:trPr>
          <w:trHeight w:val="26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6DE1E" w14:textId="77777777" w:rsidR="002C4AEA" w:rsidRPr="008C744B" w:rsidRDefault="002C4AEA" w:rsidP="0014141F">
            <w:pPr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3DFB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n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A5FE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n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CD989" w14:textId="77777777" w:rsidR="002C4AEA" w:rsidRPr="008C744B" w:rsidRDefault="006649B5" w:rsidP="0014141F">
            <w:pPr>
              <w:jc w:val="center"/>
              <w:textAlignment w:val="baseline"/>
              <w:rPr>
                <w:rFonts w:eastAsia="Times New Roman" w:cs="Times New Roman"/>
                <w:color w:val="000000"/>
                <w:spacing w:val="1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4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2295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9073D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62B6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2C443" w14:textId="77777777" w:rsidR="002C4AEA" w:rsidRPr="0075762D" w:rsidRDefault="006649B5" w:rsidP="0014141F">
            <w:pPr>
              <w:jc w:val="center"/>
              <w:textAlignment w:val="baseline"/>
              <w:rPr>
                <w:rFonts w:eastAsia="Times New Roman" w:cs="Times New Roman"/>
                <w:color w:val="000000"/>
                <w:spacing w:val="1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4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FFBEF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pacing w:val="1"/>
                <w:lang w:val="en-GB"/>
              </w:rPr>
              <w:t>p</w:t>
            </w:r>
          </w:p>
        </w:tc>
      </w:tr>
      <w:tr w:rsidR="002C4AEA" w:rsidRPr="008C744B" w14:paraId="36DFA79A" w14:textId="77777777" w:rsidTr="0014141F">
        <w:trPr>
          <w:trHeight w:val="26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8E37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Gender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49880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F5642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0F97D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1.236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1CA8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02B32C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A05F92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7F53E9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2D7D9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.716</w:t>
            </w:r>
          </w:p>
        </w:tc>
      </w:tr>
      <w:tr w:rsidR="002C4AEA" w:rsidRPr="008C744B" w14:paraId="0C5C4492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2D9DE1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E9FE6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spacing w:val="1"/>
                <w:lang w:val="en-GB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90841" w14:textId="77777777" w:rsidR="002C4AEA" w:rsidRPr="00D945DA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</w:rPr>
              <w:t>177 (19.1)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E8D5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154 (16.6)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14:paraId="03601EE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14:paraId="198DC8B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F5A4E6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116 (12.5)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767DABA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215 (23.2)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4E2F7D1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0EDE973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19100F19" w14:textId="77777777" w:rsidTr="0014141F">
        <w:trPr>
          <w:trHeight w:val="28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BF46D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8479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spacing w:val="1"/>
                <w:lang w:val="en-GB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CD6E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296 (31.9)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DE1B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300 (32.4)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</w:tcPr>
          <w:p w14:paraId="3D591C7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</w:tcPr>
          <w:p w14:paraId="1EA7070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8C4AD8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216 (23.3) 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7C41A05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380 (41.0)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CB0AE9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128108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75E3B8F4" w14:textId="77777777" w:rsidTr="0014141F">
        <w:trPr>
          <w:trHeight w:val="26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0010F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Age </w:t>
            </w: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groups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D5612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FD2B0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6869CF" w14:textId="77777777" w:rsidR="002C4AEA" w:rsidRPr="00591E9C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bCs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pacing w:val="1"/>
                <w:lang w:val="en-GB"/>
              </w:rPr>
              <w:t>24.338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001F2" w14:textId="77777777" w:rsidR="002C4AEA" w:rsidRPr="009F6559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  <w:r w:rsidRPr="009F6559"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  <w:t>&lt;.001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4748ED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C585CA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AA5A1D" w14:textId="77777777" w:rsidR="002C4AEA" w:rsidRPr="009F6559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  <w:r w:rsidRPr="009F6559"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  <w:t>39.947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501288" w14:textId="77777777" w:rsidR="002C4AEA" w:rsidRPr="009F6559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  <w:r w:rsidRPr="009F6559"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  <w:t>&lt;.001</w:t>
            </w:r>
          </w:p>
        </w:tc>
      </w:tr>
      <w:tr w:rsidR="002C4AEA" w:rsidRPr="008C744B" w14:paraId="15EC2750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3B68C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F186B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12-17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8AC5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85 (9.2)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8B6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113 (12.2)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FB982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08F0A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05F4E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58 (6.3)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9092B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140 (15.1)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593FD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F2C7E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1D6D602C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CF0A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AA56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18-22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736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175 (18.9)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FAE7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184 (19.8)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354E6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0E3F6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A2444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108 (11.7)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22420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251 (27.1)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4C693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6CB52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388858FA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0F3FC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E1C7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23-27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7E2E4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102 (11.0)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82BDB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104 (11.2)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374109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C6ACE5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E390A1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73 (7.9)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30363F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133 (14.3)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9DECD8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941221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25F28E52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CA3241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F6D3BD" w14:textId="77777777" w:rsidR="002C4AEA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28+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25B142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111 (12.0)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0E0246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53 (5.7)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7A1457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6B3070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2E0291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93 (10.0)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255244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71 (7.7)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D1A928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53550C" w14:textId="77777777" w:rsidR="002C4AEA" w:rsidRPr="008C744B" w:rsidRDefault="002C4AEA" w:rsidP="0014141F">
            <w:pPr>
              <w:tabs>
                <w:tab w:val="center" w:pos="824"/>
              </w:tabs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4FAE51E2" w14:textId="77777777" w:rsidTr="0014141F">
        <w:trPr>
          <w:trHeight w:val="26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A94E9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Cultural background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3FA68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E47AD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4A207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  <w:t>7.716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C473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  <w:t>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D464F0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313D3A" w14:textId="77777777" w:rsidR="002C4AEA" w:rsidRDefault="002C4AEA" w:rsidP="0014141F">
            <w:pPr>
              <w:jc w:val="center"/>
              <w:textAlignment w:val="baseline"/>
              <w:rPr>
                <w:rFonts w:eastAsia="Times New Roman" w:cs="Times New Roman"/>
                <w:b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06C599" w14:textId="77777777" w:rsidR="002C4AEA" w:rsidRPr="00587985" w:rsidRDefault="002C4AEA" w:rsidP="0014141F">
            <w:pPr>
              <w:jc w:val="center"/>
              <w:textAlignment w:val="baseline"/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  <w:t>4.829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D724DE" w14:textId="77777777" w:rsidR="002C4AEA" w:rsidRPr="00587985" w:rsidRDefault="002C4AEA" w:rsidP="0014141F">
            <w:pPr>
              <w:jc w:val="center"/>
              <w:textAlignment w:val="baseline"/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pacing w:val="1"/>
                <w:lang w:val="en-GB"/>
              </w:rPr>
              <w:t>.089</w:t>
            </w:r>
          </w:p>
        </w:tc>
      </w:tr>
      <w:tr w:rsidR="002C4AEA" w:rsidRPr="008C744B" w14:paraId="75CE6E59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8820E4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CA3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Only Dutch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250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118 (12.7)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C515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100 (10.8)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0A008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C3072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F6EB7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86 (9.3)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B31A5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132 (14.2)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05DEE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4554A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733D7AC2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C560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E052A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Bicultural Dutch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9114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305 (32.9)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95FC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278 (30.0)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8D61D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EE4BB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DAAB0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211 (22.8)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E1053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372 (40.1)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90D8C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8478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09E2F44A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9B4776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12B66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Other than Dutch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A9E0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50 (5.4)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C5DC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76 8.2)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B7B90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42DBF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FCC3E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91 (9.8)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F471D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91 (9.8)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BF7DA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43320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05769B3D" w14:textId="77777777" w:rsidTr="0014141F">
        <w:trPr>
          <w:trHeight w:val="26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61C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Educational level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2DB252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1EDD9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27AF9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4.744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F7F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.315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9EC2F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A927B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63A2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5.418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D0CDD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.247</w:t>
            </w:r>
          </w:p>
        </w:tc>
      </w:tr>
      <w:tr w:rsidR="002C4AEA" w:rsidRPr="008C744B" w14:paraId="37165415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2E219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C758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Very low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6832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26 (2.8)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5732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24 (2.6)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5111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7ECB1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433D9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23 (2.5)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9E1E0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27 (2.9)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F29C0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5990D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184CCB8D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48AA9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857DA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Low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FF13B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133 (14.3)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A5602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139 (15.0)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66830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BD424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A3F05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172 (18.6)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46FD1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172 (18.6)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680E88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02539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735D8F3C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9AD06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F9FFD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Intermediate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97A7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274 (29.6)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DAA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248 (26.8)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EF438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FF7C2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4B78C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345 (37.2)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6641F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345 (37.2)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FE67D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E38B2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07949907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4CE29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E779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High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E3AB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39 (4.2)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0339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37 (4.0)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C6D90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81BB5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FCB67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45 (4.9)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F2015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45 (4.9)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29A93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4E6C1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3CB1D1E4" w14:textId="77777777" w:rsidTr="0014141F">
        <w:trPr>
          <w:trHeight w:val="26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F54A4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 xml:space="preserve">Intensity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F1322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2DED5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F73BB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1.348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985E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54081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C7A4F6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105132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5.513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07F79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.239</w:t>
            </w:r>
          </w:p>
        </w:tc>
      </w:tr>
      <w:tr w:rsidR="002C4AEA" w:rsidRPr="009F6559" w14:paraId="6CCF5137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CDEB9A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42944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Less than once a month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009F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61 (6.6)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C2B8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68 (7.3)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AE436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5D18E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90C57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39 (4.2)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F30EA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90 (9.7)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865358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382AD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626A3599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B9B25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BD780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Monthly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7030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67 (7.2)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AA0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68 (7.3)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535750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495547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596DF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46 (5.0)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1DD8403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89 (9.6)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1E3FA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7CDE5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223833EE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71CCE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8C5B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 w:rsidRPr="008C744B"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Every two weeks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67E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87 (9.4)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FCD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75 (8.1)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6A8E3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DF9FFE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0980F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68 (7.3)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A5EF62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94 (10.1)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DD401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F19D9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73F6B593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CE53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31C58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Weekly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24DF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106 (11.4)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751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101 (10.9)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9B241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C532D1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3B644D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79 (8.5)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183B8D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128 (13.8)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57B66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FE39A8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  <w:tr w:rsidR="002C4AEA" w:rsidRPr="008C744B" w14:paraId="69A5A8CF" w14:textId="77777777" w:rsidTr="0014141F">
        <w:trPr>
          <w:trHeight w:val="266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0B68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7F34C" w14:textId="77777777" w:rsidR="002C4AEA" w:rsidRPr="008C744B" w:rsidRDefault="002C4AEA" w:rsidP="0014141F">
            <w:pPr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More than once a week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D8DAB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152 (16.4)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0918C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142 (15.3)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C52B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E32C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F2FFA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100 (10.8)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3B59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  <w:r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  <w:t>194 (20.9)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1A1A5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30864" w14:textId="77777777" w:rsidR="002C4AEA" w:rsidRPr="008C744B" w:rsidRDefault="002C4AEA" w:rsidP="0014141F">
            <w:pPr>
              <w:jc w:val="center"/>
              <w:textAlignment w:val="baseline"/>
              <w:rPr>
                <w:rFonts w:eastAsia="Times New Roman" w:cs="Times New Roman"/>
                <w:iCs/>
                <w:color w:val="000000"/>
                <w:spacing w:val="1"/>
                <w:lang w:val="en-GB"/>
              </w:rPr>
            </w:pPr>
          </w:p>
        </w:tc>
      </w:tr>
    </w:tbl>
    <w:p w14:paraId="134A0E27" w14:textId="77777777" w:rsidR="002C4AEA" w:rsidRDefault="002C4AEA" w:rsidP="002C4AEA">
      <w:pPr>
        <w:rPr>
          <w:lang w:val="en-GB"/>
        </w:rPr>
      </w:pPr>
    </w:p>
    <w:p w14:paraId="1B0DB8CD" w14:textId="77777777" w:rsidR="002C4AEA" w:rsidRPr="00793C68" w:rsidRDefault="002C4AEA" w:rsidP="002C4AEA">
      <w:pPr>
        <w:rPr>
          <w:lang w:val="en-GB"/>
        </w:rPr>
      </w:pPr>
    </w:p>
    <w:p w14:paraId="430F9A81" w14:textId="77777777" w:rsidR="002C4AEA" w:rsidRDefault="002C4AEA"/>
    <w:sectPr w:rsidR="002C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EA"/>
    <w:rsid w:val="002C4AEA"/>
    <w:rsid w:val="006649B5"/>
    <w:rsid w:val="00A92585"/>
    <w:rsid w:val="00B27355"/>
    <w:rsid w:val="00C25499"/>
    <w:rsid w:val="00DA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6232"/>
  <w15:chartTrackingRefBased/>
  <w15:docId w15:val="{8A426AF5-1803-4695-89DB-39A6402B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5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TableNormal"/>
    <w:next w:val="TableGrid"/>
    <w:uiPriority w:val="39"/>
    <w:rsid w:val="002C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C4AEA"/>
    <w:pPr>
      <w:spacing w:after="0" w:line="240" w:lineRule="auto"/>
    </w:pPr>
    <w:rPr>
      <w:rFonts w:eastAsia="PMingLiU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Nijland</dc:creator>
  <cp:keywords/>
  <dc:description/>
  <cp:lastModifiedBy>Shanti Jamin</cp:lastModifiedBy>
  <cp:revision>2</cp:revision>
  <dcterms:created xsi:type="dcterms:W3CDTF">2025-03-06T16:12:00Z</dcterms:created>
  <dcterms:modified xsi:type="dcterms:W3CDTF">2025-03-06T16:12:00Z</dcterms:modified>
</cp:coreProperties>
</file>