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D02" w:rsidRPr="005E470B" w:rsidRDefault="00535D02" w:rsidP="00535D02">
      <w:pPr>
        <w:pStyle w:val="Heading1"/>
        <w:jc w:val="center"/>
        <w:rPr>
          <w:rStyle w:val="med1"/>
          <w:lang w:val="en-GB"/>
        </w:rPr>
      </w:pPr>
      <w:r w:rsidRPr="005E470B">
        <w:rPr>
          <w:lang w:val="en-GB"/>
        </w:rPr>
        <w:t xml:space="preserve">Strategizing </w:t>
      </w:r>
      <w:r>
        <w:rPr>
          <w:lang w:val="en-GB"/>
        </w:rPr>
        <w:t>B</w:t>
      </w:r>
      <w:r w:rsidRPr="005E470B">
        <w:rPr>
          <w:lang w:val="en-GB"/>
        </w:rPr>
        <w:t xml:space="preserve">eyond </w:t>
      </w:r>
      <w:r>
        <w:rPr>
          <w:rStyle w:val="med1"/>
          <w:lang w:val="en-GB"/>
        </w:rPr>
        <w:t>Educational Inadequacy In Connecting Research A</w:t>
      </w:r>
      <w:r w:rsidR="00551CBE">
        <w:rPr>
          <w:rStyle w:val="med1"/>
          <w:lang w:val="en-GB"/>
        </w:rPr>
        <w:t>nd T</w:t>
      </w:r>
      <w:r>
        <w:rPr>
          <w:rStyle w:val="med1"/>
          <w:lang w:val="en-GB"/>
        </w:rPr>
        <w:t>eaching: An Institutional A</w:t>
      </w:r>
      <w:r w:rsidRPr="005E470B">
        <w:rPr>
          <w:rStyle w:val="med1"/>
          <w:lang w:val="en-GB"/>
        </w:rPr>
        <w:t>pproach</w:t>
      </w:r>
    </w:p>
    <w:p w:rsidR="00535D02" w:rsidRDefault="00535D02" w:rsidP="00535D02">
      <w:pPr>
        <w:rPr>
          <w:lang w:val="en-GB"/>
        </w:rPr>
      </w:pPr>
    </w:p>
    <w:p w:rsidR="00535D02" w:rsidRPr="005E470B" w:rsidRDefault="00535D02" w:rsidP="00535D02">
      <w:pPr>
        <w:rPr>
          <w:lang w:val="en-GB"/>
        </w:rPr>
      </w:pPr>
    </w:p>
    <w:p w:rsidR="00535D02" w:rsidRPr="005E470B" w:rsidRDefault="00535D02" w:rsidP="00535D02">
      <w:pPr>
        <w:pStyle w:val="Heading2"/>
        <w:spacing w:line="276" w:lineRule="auto"/>
        <w:jc w:val="center"/>
        <w:rPr>
          <w:lang w:val="en-GB"/>
        </w:rPr>
      </w:pPr>
      <w:r w:rsidRPr="005E470B">
        <w:rPr>
          <w:lang w:val="en-GB"/>
        </w:rPr>
        <w:t>Abstract</w:t>
      </w:r>
    </w:p>
    <w:p w:rsidR="00535D02" w:rsidRPr="005E470B" w:rsidRDefault="00535D02" w:rsidP="00664EFB">
      <w:pPr>
        <w:spacing w:after="0" w:line="276" w:lineRule="auto"/>
        <w:jc w:val="both"/>
        <w:rPr>
          <w:lang w:val="en-GB"/>
        </w:rPr>
      </w:pPr>
      <w:r w:rsidRPr="005E470B">
        <w:rPr>
          <w:lang w:val="en-GB"/>
        </w:rPr>
        <w:t xml:space="preserve">The current assignment of vocational programs in higher education is to educate future evidence-based professionals. Often is presumed that a substantial connection between research and teaching is needed to be able to provide the right context and content to achieve this aim with students </w:t>
      </w:r>
      <w:r w:rsidRPr="005E470B">
        <w:rPr>
          <w:lang w:val="en-GB"/>
        </w:rPr>
        <w:fldChar w:fldCharType="begin"/>
      </w:r>
      <w:r w:rsidRPr="005E470B">
        <w:rPr>
          <w:lang w:val="en-GB"/>
        </w:rPr>
        <w:instrText xml:space="preserve"> ADDIN EN.CITE &lt;EndNote&gt;&lt;Cite&gt;&lt;Author&gt;Healey&lt;/Author&gt;&lt;Year&gt;2015&lt;/Year&gt;&lt;RecNum&gt;585&lt;/RecNum&gt;&lt;DisplayText&gt;(Healey &amp;amp; Jenkins, 2015)&lt;/DisplayText&gt;&lt;record&gt;&lt;rec-number&gt;585&lt;/rec-number&gt;&lt;foreign-keys&gt;&lt;key app="EN" db-id="va0ads5dw9dtxjevst2xfes4d2saw22prsft" timestamp="1439152832"&gt;585&lt;/key&gt;&lt;/foreign-keys&gt;&lt;ref-type name="Web Page"&gt;12&lt;/ref-type&gt;&lt;contributors&gt;&lt;authors&gt;&lt;author&gt;Healey, M.&lt;/author&gt;&lt;author&gt;Jenkins, A.&lt;/author&gt;&lt;/authors&gt;&lt;secondary-authors&gt;&lt;author&gt;Healey, M.&lt;/author&gt;&lt;/secondary-authors&gt;&lt;/contributors&gt;&lt;titles&gt;&lt;title&gt;Linking Discipline-Based Research with Teaching to Benefit Student Learning Through Engaging Students in Research and Inquiry&lt;/title&gt;&lt;/titles&gt;&lt;volume&gt;2015&lt;/volume&gt;&lt;number&gt;9 augustus&lt;/number&gt;&lt;dates&gt;&lt;year&gt;2015&lt;/year&gt;&lt;/dates&gt;&lt;urls&gt;&lt;related-urls&gt;&lt;url&gt;http://www.mickhealey.co.uk/resources&lt;/url&gt;&lt;/related-urls&gt;&lt;/urls&gt;&lt;/record&gt;&lt;/Cite&gt;&lt;/EndNote&gt;</w:instrText>
      </w:r>
      <w:r w:rsidRPr="005E470B">
        <w:rPr>
          <w:lang w:val="en-GB"/>
        </w:rPr>
        <w:fldChar w:fldCharType="separate"/>
      </w:r>
      <w:r w:rsidRPr="005E470B">
        <w:rPr>
          <w:noProof/>
          <w:lang w:val="en-GB"/>
        </w:rPr>
        <w:t>(Healey &amp; Jenkins, 2015)</w:t>
      </w:r>
      <w:r w:rsidRPr="005E470B">
        <w:rPr>
          <w:lang w:val="en-GB"/>
        </w:rPr>
        <w:fldChar w:fldCharType="end"/>
      </w:r>
      <w:r w:rsidRPr="005E470B">
        <w:rPr>
          <w:lang w:val="en-GB"/>
        </w:rPr>
        <w:t xml:space="preserve">. As an effect in the Dutch institutes for higher professional education there is an increased attention for the connection between research and teaching as a carrier to develop these knowledge related competences. But what does it mean for an institute of higher vocational education to actively strategize towards integrating research and teaching in all bachelor and master programs for 45.000 students, while still standing in the tradition of being teaching-only? This paper presents the </w:t>
      </w:r>
      <w:r w:rsidR="00664EFB">
        <w:rPr>
          <w:lang w:val="en-GB"/>
        </w:rPr>
        <w:t xml:space="preserve">three phases of </w:t>
      </w:r>
      <w:bookmarkStart w:id="0" w:name="_GoBack"/>
      <w:bookmarkEnd w:id="0"/>
      <w:r w:rsidRPr="005E470B">
        <w:rPr>
          <w:lang w:val="en-GB"/>
        </w:rPr>
        <w:t xml:space="preserve">a large scale institutional change in Amsterdam UAS, including </w:t>
      </w:r>
      <w:r>
        <w:rPr>
          <w:lang w:val="en-GB"/>
        </w:rPr>
        <w:t>a systematic analysis of ‘research’ in the profiles of all 70 vocational bachelor programs.</w:t>
      </w:r>
    </w:p>
    <w:p w:rsidR="00535D02" w:rsidRPr="005E470B" w:rsidRDefault="00535D02" w:rsidP="00535D02">
      <w:pPr>
        <w:spacing w:line="276" w:lineRule="auto"/>
        <w:rPr>
          <w:lang w:val="en-GB"/>
        </w:rPr>
      </w:pPr>
    </w:p>
    <w:p w:rsidR="00535D02" w:rsidRPr="005E470B" w:rsidRDefault="00535D02" w:rsidP="00535D02">
      <w:pPr>
        <w:pStyle w:val="Heading2"/>
        <w:spacing w:line="276" w:lineRule="auto"/>
        <w:jc w:val="center"/>
        <w:rPr>
          <w:lang w:val="en-GB"/>
        </w:rPr>
      </w:pPr>
      <w:r w:rsidRPr="005E470B">
        <w:rPr>
          <w:lang w:val="en-GB"/>
        </w:rPr>
        <w:t>Introduction</w:t>
      </w:r>
    </w:p>
    <w:p w:rsidR="00535D02" w:rsidRPr="005E470B" w:rsidRDefault="00535D02" w:rsidP="00535D02">
      <w:pPr>
        <w:spacing w:after="0" w:line="276" w:lineRule="auto"/>
        <w:jc w:val="both"/>
        <w:rPr>
          <w:lang w:val="en-GB"/>
        </w:rPr>
      </w:pPr>
      <w:r w:rsidRPr="005E470B">
        <w:rPr>
          <w:lang w:val="en-GB"/>
        </w:rPr>
        <w:t>The current assignment of vocational programs in higher education is to educate future evidence-based professionals. In the era of ‘</w:t>
      </w:r>
      <w:proofErr w:type="spellStart"/>
      <w:r w:rsidRPr="005E470B">
        <w:rPr>
          <w:lang w:val="en-GB"/>
        </w:rPr>
        <w:t>supercomplexity</w:t>
      </w:r>
      <w:proofErr w:type="spellEnd"/>
      <w:r w:rsidRPr="005E470B">
        <w:rPr>
          <w:lang w:val="en-GB"/>
        </w:rPr>
        <w:t xml:space="preserve">’, this means they need to be able to gather, apply and create new knowledge (Barnett, 2012; Brew, 2010). Often is presumed that a substantial connection between research and teaching is needed to be able to provide the right context and content to achieve this aim with students </w:t>
      </w:r>
      <w:r w:rsidRPr="005E470B">
        <w:rPr>
          <w:lang w:val="en-GB"/>
        </w:rPr>
        <w:fldChar w:fldCharType="begin"/>
      </w:r>
      <w:r w:rsidRPr="005E470B">
        <w:rPr>
          <w:lang w:val="en-GB"/>
        </w:rPr>
        <w:instrText xml:space="preserve"> ADDIN EN.CITE &lt;EndNote&gt;&lt;Cite&gt;&lt;Author&gt;Healey&lt;/Author&gt;&lt;Year&gt;2015&lt;/Year&gt;&lt;RecNum&gt;585&lt;/RecNum&gt;&lt;DisplayText&gt;(Healey &amp;amp; Jenkins, 2015)&lt;/DisplayText&gt;&lt;record&gt;&lt;rec-number&gt;585&lt;/rec-number&gt;&lt;foreign-keys&gt;&lt;key app="EN" db-id="va0ads5dw9dtxjevst2xfes4d2saw22prsft" timestamp="1439152832"&gt;585&lt;/key&gt;&lt;/foreign-keys&gt;&lt;ref-type name="Web Page"&gt;12&lt;/ref-type&gt;&lt;contributors&gt;&lt;authors&gt;&lt;author&gt;Healey, M.&lt;/author&gt;&lt;author&gt;Jenkins, A.&lt;/author&gt;&lt;/authors&gt;&lt;secondary-authors&gt;&lt;author&gt;Healey, M.&lt;/author&gt;&lt;/secondary-authors&gt;&lt;/contributors&gt;&lt;titles&gt;&lt;title&gt;Linking Discipline-Based Research with Teaching to Benefit Student Learning Through Engaging Students in Research and Inquiry&lt;/title&gt;&lt;/titles&gt;&lt;volume&gt;2015&lt;/volume&gt;&lt;number&gt;9 augustus&lt;/number&gt;&lt;dates&gt;&lt;year&gt;2015&lt;/year&gt;&lt;/dates&gt;&lt;urls&gt;&lt;related-urls&gt;&lt;url&gt;http://www.mickhealey.co.uk/resources&lt;/url&gt;&lt;/related-urls&gt;&lt;/urls&gt;&lt;/record&gt;&lt;/Cite&gt;&lt;/EndNote&gt;</w:instrText>
      </w:r>
      <w:r w:rsidRPr="005E470B">
        <w:rPr>
          <w:lang w:val="en-GB"/>
        </w:rPr>
        <w:fldChar w:fldCharType="separate"/>
      </w:r>
      <w:r w:rsidRPr="005E470B">
        <w:rPr>
          <w:noProof/>
          <w:lang w:val="en-GB"/>
        </w:rPr>
        <w:t>(Healey &amp; Jenkins, 2015)</w:t>
      </w:r>
      <w:r w:rsidRPr="005E470B">
        <w:rPr>
          <w:lang w:val="en-GB"/>
        </w:rPr>
        <w:fldChar w:fldCharType="end"/>
      </w:r>
      <w:r w:rsidRPr="005E470B">
        <w:rPr>
          <w:lang w:val="en-GB"/>
        </w:rPr>
        <w:t>. As an effect in the Dutch institutes for higher professional education there is an increased attention for the connection between research and teaching as a carrier to develop these knowledge related competences. With teaching being the traditional core activity, nowadays, research has an increased influence and importance, both as stand-alone activity, as well as part of the educational programs (Griffioen &amp; De Jong, 2014). But what does it mean for an institute of higher vocational education to actively strategize towards integrating research and teaching in all bachelor and master programs for 45.000 students, while still standing in the tradition of being teaching-only? This paper presents the planning phase of a large scale institutional change in Amsterdam UAS, including a design for evaluation.</w:t>
      </w:r>
    </w:p>
    <w:p w:rsidR="00535D02" w:rsidRPr="005E470B" w:rsidRDefault="00535D02" w:rsidP="00535D02">
      <w:pPr>
        <w:spacing w:after="0" w:line="276" w:lineRule="auto"/>
        <w:jc w:val="both"/>
        <w:rPr>
          <w:lang w:val="en-GB"/>
        </w:rPr>
      </w:pPr>
      <w:r w:rsidRPr="005E470B">
        <w:rPr>
          <w:lang w:val="en-GB"/>
        </w:rPr>
        <w:tab/>
        <w:t xml:space="preserve">One of the main principles to achieve integration of research and teaching, is to provide a deliberate and unambiguous strategy on all institutional levels </w:t>
      </w:r>
      <w:r w:rsidRPr="005E470B">
        <w:rPr>
          <w:lang w:val="en-GB"/>
        </w:rPr>
        <w:fldChar w:fldCharType="begin">
          <w:fldData xml:space="preserve">PEVuZE5vdGU+PENpdGU+PEF1dGhvcj5KZW5raW5zPC9BdXRob3I+PFllYXI+MjAwNTwvWWVhcj48
UmVjTnVtPjE3NzwvUmVjTnVtPjxEaXNwbGF5VGV4dD4oSGF6ZWxrb3JuLCAyMDA1OyBKZW5raW5z
ICZhbXA7IEhlYWxleSwgMjAwNTsgSmVua2lucywgSGVhbGV5LCAmYW1wOyBaZXR0ZXIsIDIwMDc7
IEplbmtpbnMgJmFtcDsgWmV0dGVyLCAyMDAzKTwvRGlzcGxheVRleHQ+PHJlY29yZD48cmVjLW51
bWJlcj4xNzc8L3JlYy1udW1iZXI+PGZvcmVpZ24ta2V5cz48a2V5IGFwcD0iRU4iIGRiLWlkPSJ2
YTBhZHM1ZHc5ZHR4amV2c3QyeGZlczRkMnNhdzIycHJzZnQiIHRpbWVzdGFtcD0iMTI4MzkzOTMw
MCI+MTc3PC9rZXk+PC9mb3JlaWduLWtleXM+PHJlZi10eXBlIG5hbWU9IlJlcG9ydCI+Mjc8L3Jl
Zi10eXBlPjxjb250cmlidXRvcnM+PGF1dGhvcnM+PGF1dGhvcj5KZW5raW5zLCBBLjwvYXV0aG9y
PjxhdXRob3I+SGVhbGV5LCBNLjwvYXV0aG9yPjwvYXV0aG9ycz48L2NvbnRyaWJ1dG9ycz48dGl0
bGVzPjx0aXRsZT5JbnN0aXR1dGlvbmFsIHN0cmF0ZWdpZXMgdG8gbGluayB0ZWFjaGluZyBhbmQg
cmVzZWFyY2g8L3RpdGxlPjwvdGl0bGVzPjxkYXRlcz48eWVhcj4yMDA1PC95ZWFyPjwvZGF0ZXM+
PHB1Yi1sb2NhdGlvbj5Zb3JrPC9wdWItbG9jYXRpb24+PHB1Ymxpc2hlcj5UaGUgSGlnaGVyIEVk
dWNhdGlvbiBBY2FkZW15PC9wdWJsaXNoZXI+PHVybHM+PHJlbGF0ZWQtdXJscz48dXJsPmh0dHA6
Ly93d3cuaGVhY2FkZW15LmFjLnVrL2Fzc2V0cy9Zb3JrL2RvY3VtZW50cy9yZXNvdXJjZXMvcmVz
b3VyY2VkYXRhYmFzZS9pZDU4NV9pbnN0aXR1dGlvbmFsX3N0cmF0ZWdpZXNfdG9fbGlua190ZWFj
aGluZ19hbmRfcmVzZWFyY2gucGRmPC91cmw+PC9yZWxhdGVkLXVybHM+PC91cmxzPjwvcmVjb3Jk
PjwvQ2l0ZT48Q2l0ZT48QXV0aG9yPkplbmtpbnM8L0F1dGhvcj48WWVhcj4yMDA3PC9ZZWFyPjxS
ZWNOdW0+MTc4PC9SZWNOdW0+PHJlY29yZD48cmVjLW51bWJlcj4xNzg8L3JlYy1udW1iZXI+PGZv
cmVpZ24ta2V5cz48a2V5IGFwcD0iRU4iIGRiLWlkPSJ2YTBhZHM1ZHc5ZHR4amV2c3QyeGZlczRk
MnNhdzIycHJzZnQiIHRpbWVzdGFtcD0iMTI4MzkzOTQ0NSI+MTc4PC9rZXk+PC9mb3JlaWduLWtl
eXM+PHJlZi10eXBlIG5hbWU9IlJlcG9ydCI+Mjc8L3JlZi10eXBlPjxjb250cmlidXRvcnM+PGF1
dGhvcnM+PGF1dGhvcj5KZW5raW5zLCBBLjwvYXV0aG9yPjxhdXRob3I+SGVhbGV5LCBNLjwvYXV0
aG9yPjxhdXRob3I+WmV0dGVyLCBSLjwvYXV0aG9yPjwvYXV0aG9ycz48L2NvbnRyaWJ1dG9ycz48
dGl0bGVzPjx0aXRsZT5MaW5raW5nIHRlYWNoaW5nIGFuZCByZXNlYXJjaCBpbiBkaXNjaXBsaW5l
cyBhbmQgZGVwYXJ0bWVudHM8L3RpdGxlPjwvdGl0bGVzPjxkYXRlcz48eWVhcj4yMDA3PC95ZWFy
PjwvZGF0ZXM+PHB1Yi1sb2NhdGlvbj5Zb3JrPC9wdWItbG9jYXRpb24+PHB1Ymxpc2hlcj5UaGUg
SGlnaGVyIEVkdWNhdGlvbiBBY2FkZW15PC9wdWJsaXNoZXI+PHVybHM+PHJlbGF0ZWQtdXJscz48
dXJsPmh0dHA6Ly93d3cuaGVhY2FkZW15LmFjLnVrL2Fzc2V0cy9Zb3JrL2RvY3VtZW50cy9MaW5r
aW5nVGVhY2hpbmdBbmRSZXNlYXJjaF9BcHJpbDA3LnBkZjwvdXJsPjwvcmVsYXRlZC11cmxzPjwv
dXJscz48L3JlY29yZD48L0NpdGU+PENpdGU+PEF1dGhvcj5KZW5raW5zPC9BdXRob3I+PFllYXI+
MjAwMzwvWWVhcj48UmVjTnVtPjE3NjwvUmVjTnVtPjxyZWNvcmQ+PHJlYy1udW1iZXI+MTc2PC9y
ZWMtbnVtYmVyPjxmb3JlaWduLWtleXM+PGtleSBhcHA9IkVOIiBkYi1pZD0idmEwYWRzNWR3OWR0
eGpldnN0MnhmZXM0ZDJzYXcyMnByc2Z0IiB0aW1lc3RhbXA9IjEyODM5MzkwODMiPjE3Njwva2V5
PjwvZm9yZWlnbi1rZXlzPjxyZWYtdHlwZSBuYW1lPSJSZXBvcnQiPjI3PC9yZWYtdHlwZT48Y29u
dHJpYnV0b3JzPjxhdXRob3JzPjxhdXRob3I+SmVua2lucywgQS48L2F1dGhvcj48YXV0aG9yPlpl
dHRlciwgUi48L2F1dGhvcj48L2F1dGhvcnM+PC9jb250cmlidXRvcnM+PHRpdGxlcz48dGl0bGU+
TGlua2luZyBUZWFjaGluZyBhbmQgUmVzZWFyY2ggaW4gRGVwYXJ0bWVudHM8L3RpdGxlPjwvdGl0
bGVzPjxkYXRlcz48eWVhcj4yMDAzPC95ZWFyPjwvZGF0ZXM+PHB1Yi1sb2NhdGlvbj5Zb3JrPC9w
dWItbG9jYXRpb24+PHB1Ymxpc2hlcj5MVFNOIC0gR2VuZXJpYyBDZW50cmU8L3B1Ymxpc2hlcj48
dXJscz48cmVsYXRlZC11cmxzPjx1cmw+aHR0cDovL3d3dy5saXZqbS5hYy51ay9wYXJ0bmVyc2hp
cC9Db2xsYWJfUGFydG5lcl9Eb2NzL1BGX0phbl8wN19NYXJ0eW5fU3Rld2FydF9SSVQucGRmPC91
cmw+PC9yZWxhdGVkLXVybHM+PC91cmxzPjwvcmVjb3JkPjwvQ2l0ZT48Q2l0ZT48QXV0aG9yPkhh
emVsa29ybjwvQXV0aG9yPjxZZWFyPjIwMDU8L1llYXI+PFJlY051bT43MjM8L1JlY051bT48cmVj
b3JkPjxyZWMtbnVtYmVyPjcyMzwvcmVjLW51bWJlcj48Zm9yZWlnbi1rZXlzPjxrZXkgYXBwPSJF
TiIgZGItaWQ9InZhMGFkczVkdzlkdHhqZXZzdDJ4ZmVzNGQyc2F3MjJwcnNmdCIgdGltZXN0YW1w
PSIxNDYyOTYyOTk1Ij43MjM8L2tleT48L2ZvcmVpZ24ta2V5cz48cmVmLXR5cGUgbmFtZT0iSm91
cm5hbCBBcnRpY2xlIj4xNzwvcmVmLXR5cGU+PGNvbnRyaWJ1dG9ycz48YXV0aG9ycz48YXV0aG9y
PkhhemVsa29ybiwgRS48L2F1dGhvcj48L2F1dGhvcnM+PC9jb250cmlidXRvcnM+PHRpdGxlcz48
dGl0bGU+SW5zdGl0dXRpb25hbCBNaXNzaW9uIHZzIFBvbGljeSBDb25zdHJhaW50PyBVbmxvY2tp
bmcgUG90ZW50aWFsPC90aXRsZT48c2Vjb25kYXJ5LXRpdGxlPkhpZ2hlciBFZHVjYXRpb24gTWFu
YWdlbWVudCBhbmQgUG9saWN5PC9zZWNvbmRhcnktdGl0bGU+PC90aXRsZXM+PHBlcmlvZGljYWw+
PGZ1bGwtdGl0bGU+SGlnaGVyIEVkdWNhdGlvbiBNYW5hZ2VtZW50IGFuZCBQb2xpY3k8L2Z1bGwt
dGl0bGU+PC9wZXJpb2RpY2FsPjxwYWdlcz40M+KAkzYwPC9wYWdlcz48dm9sdW1lPjE3PC92b2x1
bWU+PG51bWJlcj4yPC9udW1iZXI+PGRhdGVzPjx5ZWFyPjIwMDU8L3llYXI+PC9kYXRlcz48dXJs
cz48L3VybHM+PC9yZWNvcmQ+PC9DaXRlPjwvRW5kTm90ZT4A
</w:fldData>
        </w:fldChar>
      </w:r>
      <w:r w:rsidRPr="005E470B">
        <w:rPr>
          <w:lang w:val="en-GB"/>
        </w:rPr>
        <w:instrText xml:space="preserve"> ADDIN EN.CITE </w:instrText>
      </w:r>
      <w:r w:rsidRPr="005E470B">
        <w:rPr>
          <w:lang w:val="en-GB"/>
        </w:rPr>
        <w:fldChar w:fldCharType="begin">
          <w:fldData xml:space="preserve">PEVuZE5vdGU+PENpdGU+PEF1dGhvcj5KZW5raW5zPC9BdXRob3I+PFllYXI+MjAwNTwvWWVhcj48
UmVjTnVtPjE3NzwvUmVjTnVtPjxEaXNwbGF5VGV4dD4oSGF6ZWxrb3JuLCAyMDA1OyBKZW5raW5z
ICZhbXA7IEhlYWxleSwgMjAwNTsgSmVua2lucywgSGVhbGV5LCAmYW1wOyBaZXR0ZXIsIDIwMDc7
IEplbmtpbnMgJmFtcDsgWmV0dGVyLCAyMDAzKTwvRGlzcGxheVRleHQ+PHJlY29yZD48cmVjLW51
bWJlcj4xNzc8L3JlYy1udW1iZXI+PGZvcmVpZ24ta2V5cz48a2V5IGFwcD0iRU4iIGRiLWlkPSJ2
YTBhZHM1ZHc5ZHR4amV2c3QyeGZlczRkMnNhdzIycHJzZnQiIHRpbWVzdGFtcD0iMTI4MzkzOTMw
MCI+MTc3PC9rZXk+PC9mb3JlaWduLWtleXM+PHJlZi10eXBlIG5hbWU9IlJlcG9ydCI+Mjc8L3Jl
Zi10eXBlPjxjb250cmlidXRvcnM+PGF1dGhvcnM+PGF1dGhvcj5KZW5raW5zLCBBLjwvYXV0aG9y
PjxhdXRob3I+SGVhbGV5LCBNLjwvYXV0aG9yPjwvYXV0aG9ycz48L2NvbnRyaWJ1dG9ycz48dGl0
bGVzPjx0aXRsZT5JbnN0aXR1dGlvbmFsIHN0cmF0ZWdpZXMgdG8gbGluayB0ZWFjaGluZyBhbmQg
cmVzZWFyY2g8L3RpdGxlPjwvdGl0bGVzPjxkYXRlcz48eWVhcj4yMDA1PC95ZWFyPjwvZGF0ZXM+
PHB1Yi1sb2NhdGlvbj5Zb3JrPC9wdWItbG9jYXRpb24+PHB1Ymxpc2hlcj5UaGUgSGlnaGVyIEVk
dWNhdGlvbiBBY2FkZW15PC9wdWJsaXNoZXI+PHVybHM+PHJlbGF0ZWQtdXJscz48dXJsPmh0dHA6
Ly93d3cuaGVhY2FkZW15LmFjLnVrL2Fzc2V0cy9Zb3JrL2RvY3VtZW50cy9yZXNvdXJjZXMvcmVz
b3VyY2VkYXRhYmFzZS9pZDU4NV9pbnN0aXR1dGlvbmFsX3N0cmF0ZWdpZXNfdG9fbGlua190ZWFj
aGluZ19hbmRfcmVzZWFyY2gucGRmPC91cmw+PC9yZWxhdGVkLXVybHM+PC91cmxzPjwvcmVjb3Jk
PjwvQ2l0ZT48Q2l0ZT48QXV0aG9yPkplbmtpbnM8L0F1dGhvcj48WWVhcj4yMDA3PC9ZZWFyPjxS
ZWNOdW0+MTc4PC9SZWNOdW0+PHJlY29yZD48cmVjLW51bWJlcj4xNzg8L3JlYy1udW1iZXI+PGZv
cmVpZ24ta2V5cz48a2V5IGFwcD0iRU4iIGRiLWlkPSJ2YTBhZHM1ZHc5ZHR4amV2c3QyeGZlczRk
MnNhdzIycHJzZnQiIHRpbWVzdGFtcD0iMTI4MzkzOTQ0NSI+MTc4PC9rZXk+PC9mb3JlaWduLWtl
eXM+PHJlZi10eXBlIG5hbWU9IlJlcG9ydCI+Mjc8L3JlZi10eXBlPjxjb250cmlidXRvcnM+PGF1
dGhvcnM+PGF1dGhvcj5KZW5raW5zLCBBLjwvYXV0aG9yPjxhdXRob3I+SGVhbGV5LCBNLjwvYXV0
aG9yPjxhdXRob3I+WmV0dGVyLCBSLjwvYXV0aG9yPjwvYXV0aG9ycz48L2NvbnRyaWJ1dG9ycz48
dGl0bGVzPjx0aXRsZT5MaW5raW5nIHRlYWNoaW5nIGFuZCByZXNlYXJjaCBpbiBkaXNjaXBsaW5l
cyBhbmQgZGVwYXJ0bWVudHM8L3RpdGxlPjwvdGl0bGVzPjxkYXRlcz48eWVhcj4yMDA3PC95ZWFy
PjwvZGF0ZXM+PHB1Yi1sb2NhdGlvbj5Zb3JrPC9wdWItbG9jYXRpb24+PHB1Ymxpc2hlcj5UaGUg
SGlnaGVyIEVkdWNhdGlvbiBBY2FkZW15PC9wdWJsaXNoZXI+PHVybHM+PHJlbGF0ZWQtdXJscz48
dXJsPmh0dHA6Ly93d3cuaGVhY2FkZW15LmFjLnVrL2Fzc2V0cy9Zb3JrL2RvY3VtZW50cy9MaW5r
aW5nVGVhY2hpbmdBbmRSZXNlYXJjaF9BcHJpbDA3LnBkZjwvdXJsPjwvcmVsYXRlZC11cmxzPjwv
dXJscz48L3JlY29yZD48L0NpdGU+PENpdGU+PEF1dGhvcj5KZW5raW5zPC9BdXRob3I+PFllYXI+
MjAwMzwvWWVhcj48UmVjTnVtPjE3NjwvUmVjTnVtPjxyZWNvcmQ+PHJlYy1udW1iZXI+MTc2PC9y
ZWMtbnVtYmVyPjxmb3JlaWduLWtleXM+PGtleSBhcHA9IkVOIiBkYi1pZD0idmEwYWRzNWR3OWR0
eGpldnN0MnhmZXM0ZDJzYXcyMnByc2Z0IiB0aW1lc3RhbXA9IjEyODM5MzkwODMiPjE3Njwva2V5
PjwvZm9yZWlnbi1rZXlzPjxyZWYtdHlwZSBuYW1lPSJSZXBvcnQiPjI3PC9yZWYtdHlwZT48Y29u
dHJpYnV0b3JzPjxhdXRob3JzPjxhdXRob3I+SmVua2lucywgQS48L2F1dGhvcj48YXV0aG9yPlpl
dHRlciwgUi48L2F1dGhvcj48L2F1dGhvcnM+PC9jb250cmlidXRvcnM+PHRpdGxlcz48dGl0bGU+
TGlua2luZyBUZWFjaGluZyBhbmQgUmVzZWFyY2ggaW4gRGVwYXJ0bWVudHM8L3RpdGxlPjwvdGl0
bGVzPjxkYXRlcz48eWVhcj4yMDAzPC95ZWFyPjwvZGF0ZXM+PHB1Yi1sb2NhdGlvbj5Zb3JrPC9w
dWItbG9jYXRpb24+PHB1Ymxpc2hlcj5MVFNOIC0gR2VuZXJpYyBDZW50cmU8L3B1Ymxpc2hlcj48
dXJscz48cmVsYXRlZC11cmxzPjx1cmw+aHR0cDovL3d3dy5saXZqbS5hYy51ay9wYXJ0bmVyc2hp
cC9Db2xsYWJfUGFydG5lcl9Eb2NzL1BGX0phbl8wN19NYXJ0eW5fU3Rld2FydF9SSVQucGRmPC91
cmw+PC9yZWxhdGVkLXVybHM+PC91cmxzPjwvcmVjb3JkPjwvQ2l0ZT48Q2l0ZT48QXV0aG9yPkhh
emVsa29ybjwvQXV0aG9yPjxZZWFyPjIwMDU8L1llYXI+PFJlY051bT43MjM8L1JlY051bT48cmVj
b3JkPjxyZWMtbnVtYmVyPjcyMzwvcmVjLW51bWJlcj48Zm9yZWlnbi1rZXlzPjxrZXkgYXBwPSJF
TiIgZGItaWQ9InZhMGFkczVkdzlkdHhqZXZzdDJ4ZmVzNGQyc2F3MjJwcnNmdCIgdGltZXN0YW1w
PSIxNDYyOTYyOTk1Ij43MjM8L2tleT48L2ZvcmVpZ24ta2V5cz48cmVmLXR5cGUgbmFtZT0iSm91
cm5hbCBBcnRpY2xlIj4xNzwvcmVmLXR5cGU+PGNvbnRyaWJ1dG9ycz48YXV0aG9ycz48YXV0aG9y
PkhhemVsa29ybiwgRS48L2F1dGhvcj48L2F1dGhvcnM+PC9jb250cmlidXRvcnM+PHRpdGxlcz48
dGl0bGU+SW5zdGl0dXRpb25hbCBNaXNzaW9uIHZzIFBvbGljeSBDb25zdHJhaW50PyBVbmxvY2tp
bmcgUG90ZW50aWFsPC90aXRsZT48c2Vjb25kYXJ5LXRpdGxlPkhpZ2hlciBFZHVjYXRpb24gTWFu
YWdlbWVudCBhbmQgUG9saWN5PC9zZWNvbmRhcnktdGl0bGU+PC90aXRsZXM+PHBlcmlvZGljYWw+
PGZ1bGwtdGl0bGU+SGlnaGVyIEVkdWNhdGlvbiBNYW5hZ2VtZW50IGFuZCBQb2xpY3k8L2Z1bGwt
dGl0bGU+PC9wZXJpb2RpY2FsPjxwYWdlcz40M+KAkzYwPC9wYWdlcz48dm9sdW1lPjE3PC92b2x1
bWU+PG51bWJlcj4yPC9udW1iZXI+PGRhdGVzPjx5ZWFyPjIwMDU8L3llYXI+PC9kYXRlcz48dXJs
cz48L3VybHM+PC9yZWNvcmQ+PC9DaXRlPjwvRW5kTm90ZT4A
</w:fldData>
        </w:fldChar>
      </w:r>
      <w:r w:rsidRPr="005E470B">
        <w:rPr>
          <w:lang w:val="en-GB"/>
        </w:rPr>
        <w:instrText xml:space="preserve"> ADDIN EN.CITE.DATA </w:instrText>
      </w:r>
      <w:r w:rsidRPr="005E470B">
        <w:rPr>
          <w:lang w:val="en-GB"/>
        </w:rPr>
      </w:r>
      <w:r w:rsidRPr="005E470B">
        <w:rPr>
          <w:lang w:val="en-GB"/>
        </w:rPr>
        <w:fldChar w:fldCharType="end"/>
      </w:r>
      <w:r w:rsidRPr="005E470B">
        <w:rPr>
          <w:lang w:val="en-GB"/>
        </w:rPr>
      </w:r>
      <w:r w:rsidRPr="005E470B">
        <w:rPr>
          <w:lang w:val="en-GB"/>
        </w:rPr>
        <w:fldChar w:fldCharType="separate"/>
      </w:r>
      <w:r w:rsidRPr="005E470B">
        <w:rPr>
          <w:noProof/>
          <w:lang w:val="en-GB"/>
        </w:rPr>
        <w:t>(Hazelkorn, 2005; Jenkins &amp; Healey, 2005; Jenkins, Healey, &amp; Zetter, 2007; Jenkins &amp; Zetter, 2003)</w:t>
      </w:r>
      <w:r w:rsidRPr="005E470B">
        <w:rPr>
          <w:lang w:val="en-GB"/>
        </w:rPr>
        <w:fldChar w:fldCharType="end"/>
      </w:r>
      <w:r w:rsidRPr="005E470B">
        <w:rPr>
          <w:lang w:val="en-GB"/>
        </w:rPr>
        <w:t xml:space="preserve">. However, this presumption suggests a clear definition of what to aim for on all levels. And this provides the central problem in Amsterdam UAS: the educational inadequacy when it comes to research on all levels. Amsterdam UAS has – as most UAS in The Netherlands, and many abroad – a tradition as teaching-only institute </w:t>
      </w:r>
      <w:r w:rsidRPr="005E470B">
        <w:rPr>
          <w:lang w:val="en-GB"/>
        </w:rPr>
        <w:fldChar w:fldCharType="begin"/>
      </w:r>
      <w:r w:rsidRPr="005E470B">
        <w:rPr>
          <w:lang w:val="en-GB"/>
        </w:rPr>
        <w:instrText xml:space="preserve"> ADDIN EN.CITE &lt;EndNote&gt;&lt;Cite&gt;&lt;Author&gt;Hazelkorn&lt;/Author&gt;&lt;Year&gt;2005&lt;/Year&gt;&lt;RecNum&gt;723&lt;/RecNum&gt;&lt;DisplayText&gt;(Hazelkorn, 2005; Huisman, 2008)&lt;/DisplayText&gt;&lt;record&gt;&lt;rec-number&gt;723&lt;/rec-number&gt;&lt;foreign-keys&gt;&lt;key app="EN" db-id="va0ads5dw9dtxjevst2xfes4d2saw22prsft" timestamp="1462962995"&gt;723&lt;/key&gt;&lt;/foreign-keys&gt;&lt;ref-type name="Journal Article"&gt;17&lt;/ref-type&gt;&lt;contributors&gt;&lt;authors&gt;&lt;author&gt;Hazelkorn, E.&lt;/author&gt;&lt;/authors&gt;&lt;/contributors&gt;&lt;titles&gt;&lt;title&gt;Institutional Mission vs Policy Constraint? Unlocking Potential&lt;/title&gt;&lt;secondary-title&gt;Higher Education Management and Policy&lt;/secondary-title&gt;&lt;/titles&gt;&lt;periodical&gt;&lt;full-title&gt;Higher Education Management and Policy&lt;/full-title&gt;&lt;/periodical&gt;&lt;pages&gt;43–60&lt;/pages&gt;&lt;volume&gt;17&lt;/volume&gt;&lt;number&gt;2&lt;/number&gt;&lt;dates&gt;&lt;year&gt;2005&lt;/year&gt;&lt;/dates&gt;&lt;urls&gt;&lt;/urls&gt;&lt;/record&gt;&lt;/Cite&gt;&lt;Cite&gt;&lt;Author&gt;Huisman&lt;/Author&gt;&lt;Year&gt;2008&lt;/Year&gt;&lt;RecNum&gt;296&lt;/RecNum&gt;&lt;record&gt;&lt;rec-number&gt;296&lt;/rec-number&gt;&lt;foreign-keys&gt;&lt;key app="EN" db-id="va0ads5dw9dtxjevst2xfes4d2saw22prsft" timestamp="1321287504"&gt;296&lt;/key&gt;&lt;/foreign-keys&gt;&lt;ref-type name="Book Section"&gt;5&lt;/ref-type&gt;&lt;contributors&gt;&lt;authors&gt;&lt;author&gt;Huisman, J.&lt;/author&gt;&lt;/authors&gt;&lt;secondary-authors&gt;&lt;author&gt;Taylor, J.S.&lt;/author&gt;&lt;author&gt;Brites Ferreira, J.&lt;/author&gt;&lt;author&gt;De Lourdes Machado, M.&lt;/author&gt;&lt;author&gt;Santiago, R.&lt;/author&gt;&lt;/secondary-authors&gt;&lt;tertiary-authors&gt;&lt;author&gt;Maassen, P.&lt;/author&gt;&lt;author&gt;Muller, J.&lt;/author&gt;&lt;/tertiary-authors&gt;&lt;/contributors&gt;&lt;titles&gt;&lt;title&gt;Shifting Boundaries in Higher Education: Dutch hogescholen on the move&lt;/title&gt;&lt;secondary-title&gt;Non-University Higher Education in Europe.&lt;/secondary-title&gt;&lt;tertiary-title&gt;Higher Education Dynamics&lt;/tertiary-title&gt;&lt;/titles&gt;&lt;pages&gt;147-168&lt;/pages&gt;&lt;dates&gt;&lt;year&gt;2008&lt;/year&gt;&lt;/dates&gt;&lt;pub-location&gt;Heidelberg | New York&lt;/pub-location&gt;&lt;publisher&gt;Springer&lt;/publisher&gt;&lt;urls&gt;&lt;/urls&gt;&lt;/record&gt;&lt;/Cite&gt;&lt;/EndNote&gt;</w:instrText>
      </w:r>
      <w:r w:rsidRPr="005E470B">
        <w:rPr>
          <w:lang w:val="en-GB"/>
        </w:rPr>
        <w:fldChar w:fldCharType="separate"/>
      </w:r>
      <w:r w:rsidRPr="005E470B">
        <w:rPr>
          <w:noProof/>
          <w:lang w:val="en-GB"/>
        </w:rPr>
        <w:t>(Hazelkorn, 2005; Huisman, 2008)</w:t>
      </w:r>
      <w:r w:rsidRPr="005E470B">
        <w:rPr>
          <w:lang w:val="en-GB"/>
        </w:rPr>
        <w:fldChar w:fldCharType="end"/>
      </w:r>
      <w:r w:rsidRPr="005E470B">
        <w:rPr>
          <w:lang w:val="en-GB"/>
        </w:rPr>
        <w:t xml:space="preserve">. This means a limited research-base in the competences of lecturers, in the related vocational fields, among the educational developers, and often among the educational managers. A statement often made </w:t>
      </w:r>
      <w:r w:rsidRPr="005E470B">
        <w:rPr>
          <w:lang w:val="en-GB"/>
        </w:rPr>
        <w:lastRenderedPageBreak/>
        <w:t xml:space="preserve">in Amsterdam UAS is ‘we’ should provide new goals in order to get ahead in integrated research into teaching, since then another type of lecturers (meaning with more research competences) will be hired, who can develop and teach in renewed (more research-oriented) curricula, which will also provide an outline for changing the organizational structures. But considering the described situation, one can wonder who are the ones to actually set the specific goals for the connection between research and teaching? How to unlock the potential of the combined educational programs of Amsterdam UAS </w:t>
      </w:r>
      <w:r w:rsidRPr="005E470B">
        <w:rPr>
          <w:lang w:val="en-GB"/>
        </w:rPr>
        <w:fldChar w:fldCharType="begin"/>
      </w:r>
      <w:r w:rsidRPr="005E470B">
        <w:rPr>
          <w:lang w:val="en-GB"/>
        </w:rPr>
        <w:instrText xml:space="preserve"> ADDIN EN.CITE &lt;EndNote&gt;&lt;Cite&gt;&lt;Author&gt;Hazelkorn&lt;/Author&gt;&lt;Year&gt;2005&lt;/Year&gt;&lt;RecNum&gt;723&lt;/RecNum&gt;&lt;DisplayText&gt;(Hazelkorn, 2005)&lt;/DisplayText&gt;&lt;record&gt;&lt;rec-number&gt;723&lt;/rec-number&gt;&lt;foreign-keys&gt;&lt;key app="EN" db-id="va0ads5dw9dtxjevst2xfes4d2saw22prsft" timestamp="1462962995"&gt;723&lt;/key&gt;&lt;/foreign-keys&gt;&lt;ref-type name="Journal Article"&gt;17&lt;/ref-type&gt;&lt;contributors&gt;&lt;authors&gt;&lt;author&gt;Hazelkorn, E.&lt;/author&gt;&lt;/authors&gt;&lt;/contributors&gt;&lt;titles&gt;&lt;title&gt;Institutional Mission vs Policy Constraint? Unlocking Potential&lt;/title&gt;&lt;secondary-title&gt;Higher Education Management and Policy&lt;/secondary-title&gt;&lt;/titles&gt;&lt;periodical&gt;&lt;full-title&gt;Higher Education Management and Policy&lt;/full-title&gt;&lt;/periodical&gt;&lt;pages&gt;43–60&lt;/pages&gt;&lt;volume&gt;17&lt;/volume&gt;&lt;number&gt;2&lt;/number&gt;&lt;dates&gt;&lt;year&gt;2005&lt;/year&gt;&lt;/dates&gt;&lt;urls&gt;&lt;/urls&gt;&lt;/record&gt;&lt;/Cite&gt;&lt;/EndNote&gt;</w:instrText>
      </w:r>
      <w:r w:rsidRPr="005E470B">
        <w:rPr>
          <w:lang w:val="en-GB"/>
        </w:rPr>
        <w:fldChar w:fldCharType="separate"/>
      </w:r>
      <w:r w:rsidRPr="005E470B">
        <w:rPr>
          <w:noProof/>
          <w:lang w:val="en-GB"/>
        </w:rPr>
        <w:t>(Hazelkorn, 2005)</w:t>
      </w:r>
      <w:r w:rsidRPr="005E470B">
        <w:rPr>
          <w:lang w:val="en-GB"/>
        </w:rPr>
        <w:fldChar w:fldCharType="end"/>
      </w:r>
      <w:r w:rsidRPr="005E470B">
        <w:rPr>
          <w:lang w:val="en-GB"/>
        </w:rPr>
        <w:t>?</w:t>
      </w:r>
    </w:p>
    <w:p w:rsidR="00535D02" w:rsidRPr="005E470B" w:rsidRDefault="00535D02" w:rsidP="00535D02">
      <w:pPr>
        <w:pStyle w:val="Heading2"/>
        <w:jc w:val="center"/>
        <w:rPr>
          <w:lang w:val="en-GB"/>
        </w:rPr>
      </w:pPr>
      <w:r w:rsidRPr="005E470B">
        <w:rPr>
          <w:lang w:val="en-GB"/>
        </w:rPr>
        <w:t>Method</w:t>
      </w:r>
    </w:p>
    <w:p w:rsidR="00535D02" w:rsidRPr="005E470B" w:rsidRDefault="00535D02" w:rsidP="006D6BC7">
      <w:pPr>
        <w:spacing w:after="0" w:line="276" w:lineRule="auto"/>
        <w:jc w:val="both"/>
        <w:rPr>
          <w:lang w:val="en-GB"/>
        </w:rPr>
      </w:pPr>
      <w:r w:rsidRPr="005E470B">
        <w:rPr>
          <w:lang w:val="en-GB"/>
        </w:rPr>
        <w:t xml:space="preserve">Based on the principles of design-research </w:t>
      </w:r>
      <w:r w:rsidRPr="005E470B">
        <w:rPr>
          <w:lang w:val="en-GB"/>
        </w:rPr>
        <w:fldChar w:fldCharType="begin"/>
      </w:r>
      <w:r w:rsidRPr="005E470B">
        <w:rPr>
          <w:lang w:val="en-GB"/>
        </w:rPr>
        <w:instrText xml:space="preserve"> ADDIN EN.CITE &lt;EndNote&gt;&lt;Cite&gt;&lt;Author&gt;McKenney&lt;/Author&gt;&lt;Year&gt;2012&lt;/Year&gt;&lt;RecNum&gt;728&lt;/RecNum&gt;&lt;DisplayText&gt;(McKenney &amp;amp; Reeves, 2012)&lt;/DisplayText&gt;&lt;record&gt;&lt;rec-number&gt;728&lt;/rec-number&gt;&lt;foreign-keys&gt;&lt;key app="EN" db-id="va0ads5dw9dtxjevst2xfes4d2saw22prsft" timestamp="1462999588"&gt;728&lt;/key&gt;&lt;/foreign-keys&gt;&lt;ref-type name="Book"&gt;6&lt;/ref-type&gt;&lt;contributors&gt;&lt;authors&gt;&lt;author&gt;McKenney, S.&lt;/author&gt;&lt;author&gt;Reeves, T. C.&lt;/author&gt;&lt;/authors&gt;&lt;/contributors&gt;&lt;titles&gt;&lt;title&gt;Conducting educational design research&lt;/title&gt;&lt;/titles&gt;&lt;dates&gt;&lt;year&gt;2012&lt;/year&gt;&lt;/dates&gt;&lt;pub-location&gt;London&lt;/pub-location&gt;&lt;publisher&gt;Routledge&lt;/publisher&gt;&lt;urls&gt;&lt;/urls&gt;&lt;/record&gt;&lt;/Cite&gt;&lt;/EndNote&gt;</w:instrText>
      </w:r>
      <w:r w:rsidRPr="005E470B">
        <w:rPr>
          <w:lang w:val="en-GB"/>
        </w:rPr>
        <w:fldChar w:fldCharType="separate"/>
      </w:r>
      <w:r w:rsidRPr="005E470B">
        <w:rPr>
          <w:noProof/>
          <w:lang w:val="en-GB"/>
        </w:rPr>
        <w:t>(McKenney &amp; Reeves, 2012)</w:t>
      </w:r>
      <w:r w:rsidRPr="005E470B">
        <w:rPr>
          <w:lang w:val="en-GB"/>
        </w:rPr>
        <w:fldChar w:fldCharType="end"/>
      </w:r>
      <w:r w:rsidRPr="005E470B">
        <w:rPr>
          <w:lang w:val="en-GB"/>
        </w:rPr>
        <w:t xml:space="preserve"> in this project an institutional strategy is being developed to iteratively provide the requested (but at the moment still implicit) changes in the balance between research and teaching. This procedure consists of three successive phases: in the first phase (2015-2016) the project outline </w:t>
      </w:r>
      <w:r w:rsidR="006D6BC7">
        <w:rPr>
          <w:lang w:val="en-GB"/>
        </w:rPr>
        <w:t>was</w:t>
      </w:r>
      <w:r w:rsidRPr="005E470B">
        <w:rPr>
          <w:lang w:val="en-GB"/>
        </w:rPr>
        <w:t xml:space="preserve"> designed in close collaboration with practitioners, educational managers, and educational staff. The s</w:t>
      </w:r>
      <w:r w:rsidR="006D6BC7">
        <w:rPr>
          <w:lang w:val="en-GB"/>
        </w:rPr>
        <w:t>econd phase (2016-2017) consisted</w:t>
      </w:r>
      <w:r w:rsidRPr="005E470B">
        <w:rPr>
          <w:lang w:val="en-GB"/>
        </w:rPr>
        <w:t xml:space="preserve"> of reformulating the vision </w:t>
      </w:r>
      <w:r w:rsidR="006D6BC7">
        <w:rPr>
          <w:lang w:val="en-GB"/>
        </w:rPr>
        <w:t xml:space="preserve">of research in </w:t>
      </w:r>
      <w:r w:rsidRPr="005E470B">
        <w:rPr>
          <w:lang w:val="en-GB"/>
        </w:rPr>
        <w:t xml:space="preserve">all </w:t>
      </w:r>
      <w:r w:rsidR="006D6BC7">
        <w:rPr>
          <w:lang w:val="en-GB"/>
        </w:rPr>
        <w:t xml:space="preserve">individual undergraduate </w:t>
      </w:r>
      <w:r w:rsidRPr="006D6BC7">
        <w:rPr>
          <w:lang w:val="en-GB"/>
        </w:rPr>
        <w:t>educational programs</w:t>
      </w:r>
      <w:r w:rsidR="006D6BC7">
        <w:rPr>
          <w:lang w:val="en-GB"/>
        </w:rPr>
        <w:t xml:space="preserve"> to increase the function of undergraduate research. </w:t>
      </w:r>
      <w:r w:rsidRPr="005E470B">
        <w:rPr>
          <w:lang w:val="en-GB"/>
        </w:rPr>
        <w:t xml:space="preserve">In the third phase (2018-2020) all educational programs </w:t>
      </w:r>
      <w:r w:rsidR="006D6BC7">
        <w:rPr>
          <w:lang w:val="en-GB"/>
        </w:rPr>
        <w:t xml:space="preserve">will </w:t>
      </w:r>
      <w:r w:rsidRPr="005E470B">
        <w:rPr>
          <w:lang w:val="en-GB"/>
        </w:rPr>
        <w:t xml:space="preserve">reformulate their curricula, in line with their afore reformulated visions. </w:t>
      </w:r>
    </w:p>
    <w:p w:rsidR="00535D02" w:rsidRPr="005E470B" w:rsidRDefault="00535D02" w:rsidP="006D6BC7">
      <w:pPr>
        <w:spacing w:after="0" w:line="276" w:lineRule="auto"/>
        <w:jc w:val="both"/>
        <w:rPr>
          <w:lang w:val="en-GB"/>
        </w:rPr>
      </w:pPr>
      <w:r w:rsidRPr="005E470B">
        <w:rPr>
          <w:lang w:val="en-GB"/>
        </w:rPr>
        <w:tab/>
        <w:t>Where the first phase of the institutional change programme is mainly a management phase, the second phase consists of two iterations, and the third phase of three iterations in which the cycle a) diagnosis, b) analysis and exploration, c) design, implementation and evaluation, and d) knowledge development and consolidation will take place</w:t>
      </w:r>
      <w:r>
        <w:rPr>
          <w:lang w:val="en-GB"/>
        </w:rPr>
        <w:t xml:space="preserve"> (</w:t>
      </w:r>
      <w:proofErr w:type="spellStart"/>
      <w:r>
        <w:rPr>
          <w:lang w:val="en-GB"/>
        </w:rPr>
        <w:t>McKenney</w:t>
      </w:r>
      <w:proofErr w:type="spellEnd"/>
      <w:r>
        <w:rPr>
          <w:lang w:val="en-GB"/>
        </w:rPr>
        <w:t xml:space="preserve"> &amp; Reeves, 2012)</w:t>
      </w:r>
      <w:r w:rsidR="006D6BC7">
        <w:rPr>
          <w:lang w:val="en-GB"/>
        </w:rPr>
        <w:t>. This paper presentation highlights</w:t>
      </w:r>
      <w:r w:rsidRPr="005E470B">
        <w:rPr>
          <w:lang w:val="en-GB"/>
        </w:rPr>
        <w:t xml:space="preserve"> the </w:t>
      </w:r>
      <w:r w:rsidR="006D6BC7">
        <w:rPr>
          <w:lang w:val="en-GB"/>
        </w:rPr>
        <w:t>results of the first planning phase</w:t>
      </w:r>
      <w:r>
        <w:rPr>
          <w:lang w:val="en-GB"/>
        </w:rPr>
        <w:t xml:space="preserve"> and </w:t>
      </w:r>
      <w:r w:rsidR="006D6BC7">
        <w:rPr>
          <w:lang w:val="en-GB"/>
        </w:rPr>
        <w:t xml:space="preserve">the results of the second </w:t>
      </w:r>
      <w:r>
        <w:rPr>
          <w:lang w:val="en-GB"/>
        </w:rPr>
        <w:t>phase with the analysis of</w:t>
      </w:r>
      <w:r w:rsidRPr="005E470B">
        <w:rPr>
          <w:lang w:val="en-GB"/>
        </w:rPr>
        <w:t xml:space="preserve"> the current visions of all 70 bachelor programs in Amsterdam UAS. </w:t>
      </w:r>
      <w:r w:rsidR="006D6BC7">
        <w:rPr>
          <w:lang w:val="en-GB"/>
        </w:rPr>
        <w:t xml:space="preserve">It will also show how the second and third phase </w:t>
      </w:r>
      <w:r w:rsidRPr="005E470B">
        <w:rPr>
          <w:lang w:val="en-GB"/>
        </w:rPr>
        <w:t xml:space="preserve">Methodologically, </w:t>
      </w:r>
      <w:r>
        <w:rPr>
          <w:lang w:val="en-GB"/>
        </w:rPr>
        <w:t xml:space="preserve">for the second phase </w:t>
      </w:r>
      <w:r w:rsidRPr="005E470B">
        <w:rPr>
          <w:lang w:val="en-GB"/>
        </w:rPr>
        <w:t>a thematic analysis is being executed of these formulated vi</w:t>
      </w:r>
      <w:r>
        <w:rPr>
          <w:lang w:val="en-GB"/>
        </w:rPr>
        <w:t>sions by the educational teams.</w:t>
      </w:r>
    </w:p>
    <w:p w:rsidR="00535D02" w:rsidRPr="005E470B" w:rsidRDefault="00535D02" w:rsidP="00535D02">
      <w:pPr>
        <w:pStyle w:val="Heading2"/>
        <w:jc w:val="center"/>
        <w:rPr>
          <w:lang w:val="en-GB"/>
        </w:rPr>
      </w:pPr>
      <w:r w:rsidRPr="005E470B">
        <w:rPr>
          <w:lang w:val="en-GB"/>
        </w:rPr>
        <w:t>Results</w:t>
      </w:r>
    </w:p>
    <w:p w:rsidR="00535D02" w:rsidRDefault="00535D02" w:rsidP="00535D02">
      <w:pPr>
        <w:spacing w:after="0" w:line="276" w:lineRule="auto"/>
        <w:jc w:val="both"/>
        <w:rPr>
          <w:lang w:val="en-GB"/>
        </w:rPr>
      </w:pPr>
      <w:r w:rsidRPr="005E470B">
        <w:rPr>
          <w:lang w:val="en-GB"/>
        </w:rPr>
        <w:t>The results of this study will first provide the developed plan for cross-institutional change towards the integration of research into teaching in all educational programs as developed in the first</w:t>
      </w:r>
      <w:r w:rsidR="006D6BC7">
        <w:rPr>
          <w:lang w:val="en-GB"/>
        </w:rPr>
        <w:t xml:space="preserve"> and second</w:t>
      </w:r>
      <w:r w:rsidRPr="005E470B">
        <w:rPr>
          <w:lang w:val="en-GB"/>
        </w:rPr>
        <w:t xml:space="preserve"> project phase, consisting of strategies to start off the requested activities in and between educational teams which are expected to result in the requested changes. These results will </w:t>
      </w:r>
      <w:r w:rsidR="006D6BC7">
        <w:rPr>
          <w:lang w:val="en-GB"/>
        </w:rPr>
        <w:t>be explained and elaborated on.</w:t>
      </w:r>
    </w:p>
    <w:p w:rsidR="00535D02" w:rsidRPr="005E470B" w:rsidRDefault="006D6BC7" w:rsidP="006D6BC7">
      <w:pPr>
        <w:spacing w:after="0" w:line="276" w:lineRule="auto"/>
        <w:jc w:val="both"/>
        <w:rPr>
          <w:lang w:val="en-GB"/>
        </w:rPr>
      </w:pPr>
      <w:r>
        <w:rPr>
          <w:lang w:val="en-GB"/>
        </w:rPr>
        <w:tab/>
        <w:t>Secondly, the undergraduate educational programmes have shown to apply four different perspectives (visions) when further implementing research. They all share the aim of education students into professionals but still see the function of research differently.</w:t>
      </w:r>
    </w:p>
    <w:p w:rsidR="00535D02" w:rsidRPr="005E470B" w:rsidRDefault="00535D02" w:rsidP="00535D02">
      <w:pPr>
        <w:spacing w:after="0" w:line="276" w:lineRule="auto"/>
        <w:ind w:firstLine="720"/>
        <w:jc w:val="both"/>
        <w:rPr>
          <w:lang w:val="en-GB"/>
        </w:rPr>
      </w:pPr>
      <w:r w:rsidRPr="005E470B">
        <w:rPr>
          <w:lang w:val="en-GB"/>
        </w:rPr>
        <w:t xml:space="preserve">All and all, insight in this hands-on and messy </w:t>
      </w:r>
      <w:r w:rsidR="006D6BC7">
        <w:rPr>
          <w:lang w:val="en-GB"/>
        </w:rPr>
        <w:t xml:space="preserve">university-wide </w:t>
      </w:r>
      <w:r w:rsidRPr="005E470B">
        <w:rPr>
          <w:lang w:val="en-GB"/>
        </w:rPr>
        <w:t xml:space="preserve">process will help to gain knowledge on how this type of large scale institutional development works </w:t>
      </w:r>
      <w:r>
        <w:rPr>
          <w:lang w:val="en-GB"/>
        </w:rPr>
        <w:t xml:space="preserve">combined in research and </w:t>
      </w:r>
      <w:r w:rsidR="006D6BC7">
        <w:rPr>
          <w:lang w:val="en-GB"/>
        </w:rPr>
        <w:t xml:space="preserve">educational </w:t>
      </w:r>
      <w:r w:rsidRPr="005E470B">
        <w:rPr>
          <w:lang w:val="en-GB"/>
        </w:rPr>
        <w:t>practice.</w:t>
      </w:r>
    </w:p>
    <w:p w:rsidR="00535D02" w:rsidRPr="005E470B" w:rsidRDefault="00535D02" w:rsidP="00535D02">
      <w:pPr>
        <w:spacing w:after="0" w:line="276" w:lineRule="auto"/>
        <w:ind w:firstLine="720"/>
        <w:jc w:val="both"/>
        <w:rPr>
          <w:lang w:val="en-GB"/>
        </w:rPr>
      </w:pPr>
    </w:p>
    <w:p w:rsidR="00535D02" w:rsidRPr="005E470B" w:rsidRDefault="00535D02" w:rsidP="00535D02">
      <w:pPr>
        <w:pStyle w:val="Heading2"/>
        <w:rPr>
          <w:sz w:val="22"/>
          <w:szCs w:val="22"/>
          <w:lang w:val="en-GB"/>
        </w:rPr>
      </w:pPr>
      <w:r w:rsidRPr="005E470B">
        <w:rPr>
          <w:sz w:val="22"/>
          <w:szCs w:val="22"/>
          <w:lang w:val="en-GB"/>
        </w:rPr>
        <w:t>References</w:t>
      </w:r>
    </w:p>
    <w:p w:rsidR="00535D02" w:rsidRPr="005E470B" w:rsidRDefault="00535D02" w:rsidP="00535D02">
      <w:pPr>
        <w:pStyle w:val="EndNoteBibliography"/>
        <w:spacing w:after="0"/>
        <w:ind w:left="720" w:hanging="720"/>
        <w:jc w:val="both"/>
        <w:rPr>
          <w:lang w:val="en-GB"/>
        </w:rPr>
      </w:pPr>
      <w:r w:rsidRPr="005E470B">
        <w:rPr>
          <w:lang w:val="en-GB"/>
        </w:rPr>
        <w:t xml:space="preserve">Hazelkorn, E. (2005). Institutional Mission vs Policy Constraint? Unlocking Potential. </w:t>
      </w:r>
      <w:r w:rsidRPr="005E470B">
        <w:rPr>
          <w:i/>
          <w:lang w:val="en-GB"/>
        </w:rPr>
        <w:t>Higher Education Management and Policy, 17</w:t>
      </w:r>
      <w:r w:rsidRPr="005E470B">
        <w:rPr>
          <w:lang w:val="en-GB"/>
        </w:rPr>
        <w:t xml:space="preserve">(2), 43–60. </w:t>
      </w:r>
    </w:p>
    <w:p w:rsidR="00535D02" w:rsidRPr="005E470B" w:rsidRDefault="00535D02" w:rsidP="00535D02">
      <w:pPr>
        <w:pStyle w:val="EndNoteBibliography"/>
        <w:spacing w:after="0"/>
        <w:ind w:left="720" w:hanging="720"/>
        <w:jc w:val="both"/>
        <w:rPr>
          <w:lang w:val="en-GB"/>
        </w:rPr>
      </w:pPr>
      <w:r w:rsidRPr="005E470B">
        <w:rPr>
          <w:lang w:val="en-GB"/>
        </w:rPr>
        <w:lastRenderedPageBreak/>
        <w:t xml:space="preserve">Healey, M., &amp; Jenkins, A. (2015). Linking Discipline-Based Research with Teaching to Benefit Student Learning Through Engaging Students in Research and Inquiry.   Retrieved from </w:t>
      </w:r>
      <w:hyperlink r:id="rId6" w:history="1">
        <w:r w:rsidRPr="005E470B">
          <w:rPr>
            <w:rStyle w:val="Hyperlink"/>
            <w:lang w:val="en-GB"/>
          </w:rPr>
          <w:t>http://www.mickhealey.co.uk/resources</w:t>
        </w:r>
      </w:hyperlink>
    </w:p>
    <w:p w:rsidR="00535D02" w:rsidRPr="005E470B" w:rsidRDefault="00535D02" w:rsidP="00535D02">
      <w:pPr>
        <w:pStyle w:val="EndNoteBibliography"/>
        <w:spacing w:after="0"/>
        <w:ind w:left="720" w:hanging="720"/>
        <w:jc w:val="both"/>
        <w:rPr>
          <w:lang w:val="en-GB"/>
        </w:rPr>
      </w:pPr>
      <w:r w:rsidRPr="005E470B">
        <w:rPr>
          <w:lang w:val="en-GB"/>
        </w:rPr>
        <w:t xml:space="preserve">Jenkins, A., &amp; Healey, M. (2005). </w:t>
      </w:r>
      <w:r w:rsidRPr="005E470B">
        <w:rPr>
          <w:i/>
          <w:lang w:val="en-GB"/>
        </w:rPr>
        <w:t>Institutional strategies to link teaching and research</w:t>
      </w:r>
      <w:r w:rsidRPr="005E470B">
        <w:rPr>
          <w:lang w:val="en-GB"/>
        </w:rPr>
        <w:t xml:space="preserve">. Retrieved from York: </w:t>
      </w:r>
      <w:hyperlink r:id="rId7" w:history="1">
        <w:r w:rsidRPr="005E470B">
          <w:rPr>
            <w:rStyle w:val="Hyperlink"/>
            <w:lang w:val="en-GB"/>
          </w:rPr>
          <w:t>http://www.heacademy.ac.uk/assets/York/documents/resources/resourcedatabase/id585_institutional_strategies_to_link_teaching_and_research.pdf</w:t>
        </w:r>
      </w:hyperlink>
    </w:p>
    <w:p w:rsidR="00535D02" w:rsidRPr="005E470B" w:rsidRDefault="00535D02" w:rsidP="00535D02">
      <w:pPr>
        <w:pStyle w:val="EndNoteBibliography"/>
        <w:spacing w:after="0"/>
        <w:ind w:left="720" w:hanging="720"/>
        <w:jc w:val="both"/>
        <w:rPr>
          <w:lang w:val="en-GB"/>
        </w:rPr>
      </w:pPr>
      <w:r w:rsidRPr="005E470B">
        <w:rPr>
          <w:lang w:val="en-GB"/>
        </w:rPr>
        <w:t xml:space="preserve">Huisman, J. (2008). Shifting Boundaries in Higher Education: Dutch hogescholen on the move. In J. S. Taylor, J. Brites Ferreira, M. De Lourdes Machado, &amp; R. Santiago (Eds.), </w:t>
      </w:r>
      <w:r w:rsidRPr="005E470B">
        <w:rPr>
          <w:i/>
          <w:lang w:val="en-GB"/>
        </w:rPr>
        <w:t>Non-University Higher Education in Europe.</w:t>
      </w:r>
      <w:r w:rsidRPr="005E470B">
        <w:rPr>
          <w:lang w:val="en-GB"/>
        </w:rPr>
        <w:t xml:space="preserve"> (pp. 147-168). Heidelberg | New York: Springer.</w:t>
      </w:r>
    </w:p>
    <w:p w:rsidR="00535D02" w:rsidRPr="005E470B" w:rsidRDefault="00535D02" w:rsidP="00535D02">
      <w:pPr>
        <w:pStyle w:val="EndNoteBibliography"/>
        <w:spacing w:after="0"/>
        <w:ind w:left="720" w:hanging="720"/>
        <w:jc w:val="both"/>
        <w:rPr>
          <w:lang w:val="en-GB"/>
        </w:rPr>
      </w:pPr>
      <w:r w:rsidRPr="005E470B">
        <w:rPr>
          <w:lang w:val="en-GB"/>
        </w:rPr>
        <w:t xml:space="preserve">Jenkins, A., Healey, M., &amp; Zetter, R. (2007). </w:t>
      </w:r>
      <w:r w:rsidRPr="005E470B">
        <w:rPr>
          <w:i/>
          <w:lang w:val="en-GB"/>
        </w:rPr>
        <w:t>Linking teaching and research in disciplines and departments</w:t>
      </w:r>
      <w:r w:rsidRPr="005E470B">
        <w:rPr>
          <w:lang w:val="en-GB"/>
        </w:rPr>
        <w:t xml:space="preserve">. Retrieved from York: </w:t>
      </w:r>
      <w:hyperlink r:id="rId8" w:history="1">
        <w:r w:rsidRPr="005E470B">
          <w:rPr>
            <w:rStyle w:val="Hyperlink"/>
            <w:lang w:val="en-GB"/>
          </w:rPr>
          <w:t>http://www.heacademy.ac.uk/assets/York/documents/LinkingTeachingAndResearch_April07.pdf</w:t>
        </w:r>
      </w:hyperlink>
    </w:p>
    <w:p w:rsidR="00535D02" w:rsidRPr="005E470B" w:rsidRDefault="00535D02" w:rsidP="00535D02">
      <w:pPr>
        <w:pStyle w:val="EndNoteBibliography"/>
        <w:spacing w:after="0"/>
        <w:ind w:left="720" w:hanging="720"/>
        <w:jc w:val="both"/>
        <w:rPr>
          <w:lang w:val="en-GB"/>
        </w:rPr>
      </w:pPr>
      <w:r w:rsidRPr="005E470B">
        <w:rPr>
          <w:lang w:val="en-GB"/>
        </w:rPr>
        <w:t xml:space="preserve">Jenkins, A., &amp; Zetter, R. (2003). </w:t>
      </w:r>
      <w:r w:rsidRPr="005E470B">
        <w:rPr>
          <w:i/>
          <w:lang w:val="en-GB"/>
        </w:rPr>
        <w:t>Linking Teaching and Research in Departments</w:t>
      </w:r>
      <w:r w:rsidRPr="005E470B">
        <w:rPr>
          <w:lang w:val="en-GB"/>
        </w:rPr>
        <w:t xml:space="preserve">. Retrieved from York: </w:t>
      </w:r>
      <w:hyperlink r:id="rId9" w:history="1">
        <w:r w:rsidRPr="005E470B">
          <w:rPr>
            <w:rStyle w:val="Hyperlink"/>
            <w:lang w:val="en-GB"/>
          </w:rPr>
          <w:t>http://www.livjm.ac.uk/partnership/Collab_Partner_Docs/PF_Jan_07_Martyn_Stewart_RIT.pdf</w:t>
        </w:r>
      </w:hyperlink>
    </w:p>
    <w:p w:rsidR="00535D02" w:rsidRPr="005E470B" w:rsidRDefault="00535D02" w:rsidP="00535D02">
      <w:pPr>
        <w:pStyle w:val="EndNoteBibliography"/>
        <w:spacing w:after="0"/>
        <w:ind w:left="720" w:hanging="720"/>
        <w:rPr>
          <w:lang w:val="en-GB"/>
        </w:rPr>
      </w:pPr>
      <w:r>
        <w:rPr>
          <w:lang w:val="en-GB"/>
        </w:rPr>
        <w:t xml:space="preserve">McKenney, S., &amp; Reeves, T.C. (2012). </w:t>
      </w:r>
      <w:r>
        <w:rPr>
          <w:i/>
          <w:lang w:val="en-GB"/>
        </w:rPr>
        <w:t>Conducting educational design research.</w:t>
      </w:r>
      <w:r>
        <w:rPr>
          <w:lang w:val="en-GB"/>
        </w:rPr>
        <w:t xml:space="preserve"> London: Rouledge.</w:t>
      </w:r>
      <w:r w:rsidRPr="005E470B">
        <w:rPr>
          <w:lang w:val="en-GB"/>
        </w:rPr>
        <w:t xml:space="preserve"> </w:t>
      </w:r>
    </w:p>
    <w:sectPr w:rsidR="00535D02" w:rsidRPr="005E470B">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D5B" w:rsidRDefault="00656D5B" w:rsidP="00535D02">
      <w:pPr>
        <w:spacing w:after="0" w:line="240" w:lineRule="auto"/>
      </w:pPr>
      <w:r>
        <w:separator/>
      </w:r>
    </w:p>
  </w:endnote>
  <w:endnote w:type="continuationSeparator" w:id="0">
    <w:p w:rsidR="00656D5B" w:rsidRDefault="00656D5B" w:rsidP="00535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480988"/>
      <w:docPartObj>
        <w:docPartGallery w:val="Page Numbers (Bottom of Page)"/>
        <w:docPartUnique/>
      </w:docPartObj>
    </w:sdtPr>
    <w:sdtEndPr>
      <w:rPr>
        <w:noProof/>
      </w:rPr>
    </w:sdtEndPr>
    <w:sdtContent>
      <w:p w:rsidR="00535D02" w:rsidRDefault="00535D02">
        <w:pPr>
          <w:pStyle w:val="Footer"/>
          <w:jc w:val="right"/>
        </w:pPr>
        <w:r>
          <w:fldChar w:fldCharType="begin"/>
        </w:r>
        <w:r>
          <w:instrText xml:space="preserve"> PAGE   \* MERGEFORMAT </w:instrText>
        </w:r>
        <w:r>
          <w:fldChar w:fldCharType="separate"/>
        </w:r>
        <w:r w:rsidR="00664EFB">
          <w:rPr>
            <w:noProof/>
          </w:rPr>
          <w:t>3</w:t>
        </w:r>
        <w:r>
          <w:rPr>
            <w:noProof/>
          </w:rPr>
          <w:fldChar w:fldCharType="end"/>
        </w:r>
      </w:p>
    </w:sdtContent>
  </w:sdt>
  <w:p w:rsidR="00535D02" w:rsidRDefault="00535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D5B" w:rsidRDefault="00656D5B" w:rsidP="00535D02">
      <w:pPr>
        <w:spacing w:after="0" w:line="240" w:lineRule="auto"/>
      </w:pPr>
      <w:r>
        <w:separator/>
      </w:r>
    </w:p>
  </w:footnote>
  <w:footnote w:type="continuationSeparator" w:id="0">
    <w:p w:rsidR="00656D5B" w:rsidRDefault="00656D5B" w:rsidP="00535D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02"/>
    <w:rsid w:val="00535D02"/>
    <w:rsid w:val="00551CBE"/>
    <w:rsid w:val="006461A3"/>
    <w:rsid w:val="00656D5B"/>
    <w:rsid w:val="00664EFB"/>
    <w:rsid w:val="006D6BC7"/>
    <w:rsid w:val="00BC2406"/>
    <w:rsid w:val="00E83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9C66A-7FF6-45E2-95FD-C2AD8CA4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D02"/>
  </w:style>
  <w:style w:type="paragraph" w:styleId="Heading1">
    <w:name w:val="heading 1"/>
    <w:basedOn w:val="Normal"/>
    <w:next w:val="Normal"/>
    <w:link w:val="Heading1Char"/>
    <w:uiPriority w:val="9"/>
    <w:qFormat/>
    <w:rsid w:val="00535D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5D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D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5D02"/>
    <w:rPr>
      <w:rFonts w:asciiTheme="majorHAnsi" w:eastAsiaTheme="majorEastAsia" w:hAnsiTheme="majorHAnsi" w:cstheme="majorBidi"/>
      <w:color w:val="2E74B5" w:themeColor="accent1" w:themeShade="BF"/>
      <w:sz w:val="26"/>
      <w:szCs w:val="26"/>
    </w:rPr>
  </w:style>
  <w:style w:type="paragraph" w:customStyle="1" w:styleId="EndNoteBibliography">
    <w:name w:val="EndNote Bibliography"/>
    <w:basedOn w:val="Normal"/>
    <w:link w:val="EndNoteBibliographyChar"/>
    <w:rsid w:val="00535D02"/>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35D02"/>
    <w:rPr>
      <w:rFonts w:ascii="Calibri" w:hAnsi="Calibri"/>
      <w:noProof/>
    </w:rPr>
  </w:style>
  <w:style w:type="character" w:customStyle="1" w:styleId="med1">
    <w:name w:val="med1"/>
    <w:basedOn w:val="DefaultParagraphFont"/>
    <w:rsid w:val="00535D02"/>
  </w:style>
  <w:style w:type="character" w:styleId="Hyperlink">
    <w:name w:val="Hyperlink"/>
    <w:basedOn w:val="DefaultParagraphFont"/>
    <w:uiPriority w:val="99"/>
    <w:unhideWhenUsed/>
    <w:rsid w:val="00535D02"/>
    <w:rPr>
      <w:color w:val="0563C1" w:themeColor="hyperlink"/>
      <w:u w:val="single"/>
    </w:rPr>
  </w:style>
  <w:style w:type="paragraph" w:styleId="Header">
    <w:name w:val="header"/>
    <w:basedOn w:val="Normal"/>
    <w:link w:val="HeaderChar"/>
    <w:uiPriority w:val="99"/>
    <w:unhideWhenUsed/>
    <w:rsid w:val="00535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D02"/>
  </w:style>
  <w:style w:type="paragraph" w:styleId="Footer">
    <w:name w:val="footer"/>
    <w:basedOn w:val="Normal"/>
    <w:link w:val="FooterChar"/>
    <w:uiPriority w:val="99"/>
    <w:unhideWhenUsed/>
    <w:rsid w:val="00535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cademy.ac.uk/assets/York/documents/LinkingTeachingAndResearch_April07.pdf" TargetMode="External"/><Relationship Id="rId3" Type="http://schemas.openxmlformats.org/officeDocument/2006/relationships/webSettings" Target="webSettings.xml"/><Relationship Id="rId7" Type="http://schemas.openxmlformats.org/officeDocument/2006/relationships/hyperlink" Target="http://www.heacademy.ac.uk/assets/York/documents/resources/resourcedatabase/id585_institutional_strategies_to_link_teaching_and_research.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khealey.co.uk/resourc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vjm.ac.uk/partnership/Collab_Partner_Docs/PF_Jan_07_Martyn_Stewart_R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Hogeschool van Amsterdam</Company>
  <LinksUpToDate>false</LinksUpToDate>
  <CharactersWithSpaces>13087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D.M.E. Griffioen</dc:creator>
  <cp:keywords/>
  <dc:description/>
  <cp:lastModifiedBy>Didi</cp:lastModifiedBy>
  <cp:revision>3</cp:revision>
  <dcterms:created xsi:type="dcterms:W3CDTF">2017-11-16T11:00:00Z</dcterms:created>
  <dcterms:modified xsi:type="dcterms:W3CDTF">2017-11-16T11:07:00Z</dcterms:modified>
</cp:coreProperties>
</file>