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3E4F" w14:textId="318F148F" w:rsidR="00ED4E1C" w:rsidRPr="00B25962" w:rsidRDefault="00B25962" w:rsidP="00B25962">
      <w:pPr>
        <w:jc w:val="both"/>
        <w:rPr>
          <w:rFonts w:ascii="Times New Roman" w:hAnsi="Times New Roman" w:cs="Times New Roman"/>
          <w:b/>
          <w:bCs/>
        </w:rPr>
      </w:pPr>
      <w:r w:rsidRPr="00B25962">
        <w:rPr>
          <w:rFonts w:ascii="Times New Roman" w:hAnsi="Times New Roman" w:cs="Times New Roman"/>
          <w:b/>
          <w:bCs/>
        </w:rPr>
        <w:t>4</w:t>
      </w:r>
      <w:r w:rsidR="00645DC7" w:rsidRPr="00B25962">
        <w:rPr>
          <w:rFonts w:ascii="Times New Roman" w:hAnsi="Times New Roman" w:cs="Times New Roman"/>
          <w:b/>
          <w:bCs/>
        </w:rPr>
        <w:tab/>
      </w:r>
      <w:r w:rsidR="00ED4E1C" w:rsidRPr="00B25962">
        <w:rPr>
          <w:rFonts w:ascii="Times New Roman" w:hAnsi="Times New Roman" w:cs="Times New Roman"/>
          <w:b/>
          <w:bCs/>
        </w:rPr>
        <w:t>De responsieve boetefunctionaris</w:t>
      </w:r>
    </w:p>
    <w:p w14:paraId="3D2E9E04" w14:textId="77777777" w:rsidR="00645DC7" w:rsidRPr="00B25962" w:rsidRDefault="00645DC7" w:rsidP="00B25962">
      <w:pPr>
        <w:jc w:val="both"/>
        <w:rPr>
          <w:rFonts w:ascii="Times New Roman" w:hAnsi="Times New Roman" w:cs="Times New Roman"/>
          <w:i/>
          <w:iCs/>
        </w:rPr>
      </w:pPr>
    </w:p>
    <w:p w14:paraId="6988CCBE" w14:textId="088DA639" w:rsidR="00ED4E1C" w:rsidRPr="00B25962" w:rsidRDefault="00ED4E1C" w:rsidP="00B25962">
      <w:pPr>
        <w:jc w:val="both"/>
        <w:rPr>
          <w:rFonts w:ascii="Times New Roman" w:hAnsi="Times New Roman" w:cs="Times New Roman"/>
        </w:rPr>
      </w:pPr>
      <w:r w:rsidRPr="00B25962">
        <w:rPr>
          <w:rFonts w:ascii="Times New Roman" w:hAnsi="Times New Roman" w:cs="Times New Roman"/>
          <w:i/>
          <w:iCs/>
        </w:rPr>
        <w:t>Arnt Mein</w:t>
      </w:r>
      <w:r w:rsidR="00C30A98" w:rsidRPr="00B25962">
        <w:rPr>
          <w:rStyle w:val="FootnoteReference"/>
          <w:rFonts w:ascii="Times New Roman" w:hAnsi="Times New Roman" w:cs="Times New Roman"/>
          <w:i/>
          <w:iCs/>
        </w:rPr>
        <w:footnoteReference w:id="1"/>
      </w:r>
    </w:p>
    <w:p w14:paraId="38E6FDD1" w14:textId="77777777" w:rsidR="00ED4E1C" w:rsidRDefault="00ED4E1C" w:rsidP="00B25962">
      <w:pPr>
        <w:jc w:val="both"/>
        <w:rPr>
          <w:rFonts w:ascii="Times New Roman" w:hAnsi="Times New Roman" w:cs="Times New Roman"/>
        </w:rPr>
      </w:pPr>
    </w:p>
    <w:p w14:paraId="25174361" w14:textId="77777777" w:rsidR="00B25962" w:rsidRPr="00B25962" w:rsidRDefault="00B25962" w:rsidP="00B25962">
      <w:pPr>
        <w:jc w:val="both"/>
        <w:rPr>
          <w:rFonts w:ascii="Times New Roman" w:hAnsi="Times New Roman" w:cs="Times New Roman"/>
        </w:rPr>
      </w:pPr>
    </w:p>
    <w:p w14:paraId="7EBB1788" w14:textId="1C5032F2" w:rsidR="00ED4E1C" w:rsidRPr="00B25962" w:rsidRDefault="00ED4E1C" w:rsidP="00B25962">
      <w:pPr>
        <w:pStyle w:val="ListParagraph"/>
        <w:numPr>
          <w:ilvl w:val="0"/>
          <w:numId w:val="1"/>
        </w:numPr>
        <w:ind w:left="357" w:hanging="357"/>
        <w:jc w:val="both"/>
        <w:rPr>
          <w:rFonts w:ascii="Times New Roman" w:hAnsi="Times New Roman" w:cs="Times New Roman"/>
          <w:b/>
          <w:bCs/>
        </w:rPr>
      </w:pPr>
      <w:r w:rsidRPr="00B25962">
        <w:rPr>
          <w:rFonts w:ascii="Times New Roman" w:hAnsi="Times New Roman" w:cs="Times New Roman"/>
          <w:b/>
          <w:bCs/>
        </w:rPr>
        <w:t>Inleiding</w:t>
      </w:r>
    </w:p>
    <w:p w14:paraId="693F7DA5" w14:textId="77777777" w:rsidR="00ED4E1C" w:rsidRPr="00B25962" w:rsidRDefault="00ED4E1C" w:rsidP="00B25962">
      <w:pPr>
        <w:jc w:val="both"/>
        <w:rPr>
          <w:rFonts w:ascii="Times New Roman" w:hAnsi="Times New Roman" w:cs="Times New Roman"/>
        </w:rPr>
      </w:pPr>
    </w:p>
    <w:p w14:paraId="2DEC8FF1" w14:textId="102E84EC" w:rsidR="00CF0E32" w:rsidRPr="00B25962" w:rsidRDefault="00C31D5B" w:rsidP="00B25962">
      <w:pPr>
        <w:jc w:val="both"/>
        <w:rPr>
          <w:rFonts w:ascii="Times New Roman" w:hAnsi="Times New Roman" w:cs="Times New Roman"/>
        </w:rPr>
      </w:pPr>
      <w:r w:rsidRPr="00B25962">
        <w:rPr>
          <w:rFonts w:ascii="Times New Roman" w:hAnsi="Times New Roman" w:cs="Times New Roman"/>
        </w:rPr>
        <w:t>In d</w:t>
      </w:r>
      <w:r w:rsidR="00F7070C" w:rsidRPr="00B25962">
        <w:rPr>
          <w:rFonts w:ascii="Times New Roman" w:hAnsi="Times New Roman" w:cs="Times New Roman"/>
        </w:rPr>
        <w:t xml:space="preserve">e </w:t>
      </w:r>
      <w:r w:rsidR="00F711D7" w:rsidRPr="00B25962">
        <w:rPr>
          <w:rFonts w:ascii="Times New Roman" w:hAnsi="Times New Roman" w:cs="Times New Roman"/>
        </w:rPr>
        <w:t xml:space="preserve">hedendaagse </w:t>
      </w:r>
      <w:r w:rsidR="00F7070C" w:rsidRPr="00B25962">
        <w:rPr>
          <w:rFonts w:ascii="Times New Roman" w:hAnsi="Times New Roman" w:cs="Times New Roman"/>
        </w:rPr>
        <w:t xml:space="preserve">rechtspleging </w:t>
      </w:r>
      <w:r w:rsidRPr="00B25962">
        <w:rPr>
          <w:rFonts w:ascii="Times New Roman" w:hAnsi="Times New Roman" w:cs="Times New Roman"/>
        </w:rPr>
        <w:t xml:space="preserve">is steeds meer oog voor responsiviteit. </w:t>
      </w:r>
      <w:r w:rsidR="002A2543" w:rsidRPr="00B25962">
        <w:rPr>
          <w:rFonts w:ascii="Times New Roman" w:hAnsi="Times New Roman" w:cs="Times New Roman"/>
          <w:color w:val="000000" w:themeColor="text1"/>
        </w:rPr>
        <w:t xml:space="preserve">Dat wil zeggen </w:t>
      </w:r>
      <w:r w:rsidR="002A2543" w:rsidRPr="00B25962">
        <w:rPr>
          <w:rFonts w:ascii="Times New Roman" w:hAnsi="Times New Roman" w:cs="Times New Roman"/>
        </w:rPr>
        <w:t xml:space="preserve">dat </w:t>
      </w:r>
      <w:r w:rsidR="00B87612" w:rsidRPr="00B25962">
        <w:rPr>
          <w:rFonts w:ascii="Times New Roman" w:hAnsi="Times New Roman" w:cs="Times New Roman"/>
        </w:rPr>
        <w:t xml:space="preserve">juridische professionals </w:t>
      </w:r>
      <w:r w:rsidR="002A2543" w:rsidRPr="00B25962">
        <w:rPr>
          <w:rFonts w:ascii="Times New Roman" w:hAnsi="Times New Roman" w:cs="Times New Roman"/>
        </w:rPr>
        <w:t>(</w:t>
      </w:r>
      <w:r w:rsidR="00B87612" w:rsidRPr="00B25962">
        <w:rPr>
          <w:rFonts w:ascii="Times New Roman" w:hAnsi="Times New Roman" w:cs="Times New Roman"/>
        </w:rPr>
        <w:t xml:space="preserve">rechters, advocaten en </w:t>
      </w:r>
      <w:r w:rsidR="00EE6CF4" w:rsidRPr="00B25962">
        <w:rPr>
          <w:rFonts w:ascii="Times New Roman" w:hAnsi="Times New Roman" w:cs="Times New Roman"/>
        </w:rPr>
        <w:t>overheidsjuristen</w:t>
      </w:r>
      <w:r w:rsidR="002A2543" w:rsidRPr="00B25962">
        <w:rPr>
          <w:rFonts w:ascii="Times New Roman" w:hAnsi="Times New Roman" w:cs="Times New Roman"/>
        </w:rPr>
        <w:t xml:space="preserve">) </w:t>
      </w:r>
      <w:r w:rsidR="008C246A" w:rsidRPr="00B25962">
        <w:rPr>
          <w:rFonts w:ascii="Times New Roman" w:hAnsi="Times New Roman" w:cs="Times New Roman"/>
        </w:rPr>
        <w:t xml:space="preserve">meer rekening houden met </w:t>
      </w:r>
      <w:r w:rsidR="00AE6E8E" w:rsidRPr="00B25962">
        <w:rPr>
          <w:rFonts w:ascii="Times New Roman" w:hAnsi="Times New Roman" w:cs="Times New Roman"/>
        </w:rPr>
        <w:t xml:space="preserve">de </w:t>
      </w:r>
      <w:r w:rsidR="000039D6" w:rsidRPr="00B25962">
        <w:rPr>
          <w:rFonts w:ascii="Times New Roman" w:hAnsi="Times New Roman" w:cs="Times New Roman"/>
        </w:rPr>
        <w:t xml:space="preserve">feitelijke </w:t>
      </w:r>
      <w:r w:rsidR="00AE6E8E" w:rsidRPr="00B25962">
        <w:rPr>
          <w:rFonts w:ascii="Times New Roman" w:hAnsi="Times New Roman" w:cs="Times New Roman"/>
        </w:rPr>
        <w:t>uitwerking van het recht in de praktijk</w:t>
      </w:r>
      <w:r w:rsidR="00532047" w:rsidRPr="00B25962">
        <w:rPr>
          <w:rFonts w:ascii="Times New Roman" w:hAnsi="Times New Roman" w:cs="Times New Roman"/>
        </w:rPr>
        <w:t>,</w:t>
      </w:r>
      <w:r w:rsidR="00935F49" w:rsidRPr="00B25962">
        <w:rPr>
          <w:rFonts w:ascii="Times New Roman" w:hAnsi="Times New Roman" w:cs="Times New Roman"/>
        </w:rPr>
        <w:t xml:space="preserve"> </w:t>
      </w:r>
      <w:r w:rsidR="008C246A" w:rsidRPr="00B25962">
        <w:rPr>
          <w:rFonts w:ascii="Times New Roman" w:hAnsi="Times New Roman" w:cs="Times New Roman"/>
        </w:rPr>
        <w:t xml:space="preserve">in het bijzonder </w:t>
      </w:r>
      <w:r w:rsidR="000039D6" w:rsidRPr="00B25962">
        <w:rPr>
          <w:rFonts w:ascii="Times New Roman" w:hAnsi="Times New Roman" w:cs="Times New Roman"/>
        </w:rPr>
        <w:t xml:space="preserve">in relatie tot </w:t>
      </w:r>
      <w:r w:rsidR="00522D73" w:rsidRPr="00B25962">
        <w:rPr>
          <w:rFonts w:ascii="Times New Roman" w:hAnsi="Times New Roman" w:cs="Times New Roman"/>
        </w:rPr>
        <w:t xml:space="preserve">de rechtspositie en </w:t>
      </w:r>
      <w:r w:rsidR="00935F49" w:rsidRPr="00B25962">
        <w:rPr>
          <w:rFonts w:ascii="Times New Roman" w:hAnsi="Times New Roman" w:cs="Times New Roman"/>
        </w:rPr>
        <w:t>het belang van de rechtszoekende</w:t>
      </w:r>
      <w:r w:rsidR="00AE6E8E" w:rsidRPr="00B25962">
        <w:rPr>
          <w:rFonts w:ascii="Times New Roman" w:hAnsi="Times New Roman" w:cs="Times New Roman"/>
        </w:rPr>
        <w:t>.</w:t>
      </w:r>
      <w:r w:rsidR="00EE6CF4" w:rsidRPr="00B25962">
        <w:rPr>
          <w:rFonts w:ascii="Times New Roman" w:hAnsi="Times New Roman" w:cs="Times New Roman"/>
        </w:rPr>
        <w:t xml:space="preserve"> Langzaam maar zeker </w:t>
      </w:r>
      <w:r w:rsidR="005059D2" w:rsidRPr="00B25962">
        <w:rPr>
          <w:rFonts w:ascii="Times New Roman" w:hAnsi="Times New Roman" w:cs="Times New Roman"/>
        </w:rPr>
        <w:t>ontwikkelt d</w:t>
      </w:r>
      <w:r w:rsidR="00EE6CF4" w:rsidRPr="00B25962">
        <w:rPr>
          <w:rFonts w:ascii="Times New Roman" w:hAnsi="Times New Roman" w:cs="Times New Roman"/>
        </w:rPr>
        <w:t xml:space="preserve">e rechtspleging </w:t>
      </w:r>
      <w:r w:rsidR="005059D2" w:rsidRPr="00B25962">
        <w:rPr>
          <w:rFonts w:ascii="Times New Roman" w:hAnsi="Times New Roman" w:cs="Times New Roman"/>
        </w:rPr>
        <w:t xml:space="preserve">zich in de richting </w:t>
      </w:r>
      <w:r w:rsidR="000E068E" w:rsidRPr="00B25962">
        <w:rPr>
          <w:rFonts w:ascii="Times New Roman" w:hAnsi="Times New Roman" w:cs="Times New Roman"/>
        </w:rPr>
        <w:t xml:space="preserve">van </w:t>
      </w:r>
      <w:r w:rsidR="009601B9" w:rsidRPr="00B25962">
        <w:rPr>
          <w:rFonts w:ascii="Times New Roman" w:hAnsi="Times New Roman" w:cs="Times New Roman"/>
        </w:rPr>
        <w:t xml:space="preserve">meeromvattende </w:t>
      </w:r>
      <w:r w:rsidR="000E068E" w:rsidRPr="00B25962">
        <w:rPr>
          <w:rFonts w:ascii="Times New Roman" w:hAnsi="Times New Roman" w:cs="Times New Roman"/>
        </w:rPr>
        <w:t xml:space="preserve">conflictoplossing, in plaats </w:t>
      </w:r>
      <w:r w:rsidR="000039D6" w:rsidRPr="00B25962">
        <w:rPr>
          <w:rFonts w:ascii="Times New Roman" w:hAnsi="Times New Roman" w:cs="Times New Roman"/>
        </w:rPr>
        <w:t xml:space="preserve">van de </w:t>
      </w:r>
      <w:r w:rsidR="005059D2" w:rsidRPr="00B25962">
        <w:rPr>
          <w:rFonts w:ascii="Times New Roman" w:hAnsi="Times New Roman" w:cs="Times New Roman"/>
        </w:rPr>
        <w:t>traditione</w:t>
      </w:r>
      <w:r w:rsidR="000039D6" w:rsidRPr="00B25962">
        <w:rPr>
          <w:rFonts w:ascii="Times New Roman" w:hAnsi="Times New Roman" w:cs="Times New Roman"/>
        </w:rPr>
        <w:t>le,</w:t>
      </w:r>
      <w:r w:rsidR="00A55F55" w:rsidRPr="00B25962">
        <w:rPr>
          <w:rFonts w:ascii="Times New Roman" w:hAnsi="Times New Roman" w:cs="Times New Roman"/>
        </w:rPr>
        <w:t xml:space="preserve"> eenzijdige en</w:t>
      </w:r>
      <w:r w:rsidR="005059D2" w:rsidRPr="00B25962">
        <w:rPr>
          <w:rFonts w:ascii="Times New Roman" w:hAnsi="Times New Roman" w:cs="Times New Roman"/>
        </w:rPr>
        <w:t xml:space="preserve"> </w:t>
      </w:r>
      <w:r w:rsidR="00A55F55" w:rsidRPr="00B25962">
        <w:rPr>
          <w:rFonts w:ascii="Times New Roman" w:hAnsi="Times New Roman" w:cs="Times New Roman"/>
        </w:rPr>
        <w:t>gejuridiseerde</w:t>
      </w:r>
      <w:r w:rsidR="000E068E" w:rsidRPr="00B25962">
        <w:rPr>
          <w:rFonts w:ascii="Times New Roman" w:hAnsi="Times New Roman" w:cs="Times New Roman"/>
        </w:rPr>
        <w:t xml:space="preserve"> geschilbeslechting.</w:t>
      </w:r>
      <w:r w:rsidR="000E068E" w:rsidRPr="00B25962">
        <w:rPr>
          <w:rStyle w:val="FootnoteReference"/>
          <w:rFonts w:ascii="Times New Roman" w:hAnsi="Times New Roman" w:cs="Times New Roman"/>
        </w:rPr>
        <w:footnoteReference w:id="2"/>
      </w:r>
      <w:r w:rsidR="000E068E" w:rsidRPr="00B25962">
        <w:rPr>
          <w:rFonts w:ascii="Times New Roman" w:hAnsi="Times New Roman" w:cs="Times New Roman"/>
        </w:rPr>
        <w:t xml:space="preserve"> </w:t>
      </w:r>
      <w:r w:rsidR="009601B9" w:rsidRPr="00B25962">
        <w:rPr>
          <w:rFonts w:ascii="Times New Roman" w:hAnsi="Times New Roman" w:cs="Times New Roman"/>
        </w:rPr>
        <w:t xml:space="preserve">Er wordt gezocht naar en </w:t>
      </w:r>
      <w:r w:rsidR="00332AC7" w:rsidRPr="00B25962">
        <w:rPr>
          <w:rFonts w:ascii="Times New Roman" w:hAnsi="Times New Roman" w:cs="Times New Roman"/>
        </w:rPr>
        <w:t xml:space="preserve">druk </w:t>
      </w:r>
      <w:r w:rsidR="009601B9" w:rsidRPr="00B25962">
        <w:rPr>
          <w:rFonts w:ascii="Times New Roman" w:hAnsi="Times New Roman" w:cs="Times New Roman"/>
        </w:rPr>
        <w:t>geëxperimenteerd met passende afdoening</w:t>
      </w:r>
      <w:r w:rsidR="005059D2" w:rsidRPr="00B25962">
        <w:rPr>
          <w:rFonts w:ascii="Times New Roman" w:hAnsi="Times New Roman" w:cs="Times New Roman"/>
        </w:rPr>
        <w:t xml:space="preserve"> van juridische problemen</w:t>
      </w:r>
      <w:r w:rsidR="0055109B" w:rsidRPr="00B25962">
        <w:rPr>
          <w:rFonts w:ascii="Times New Roman" w:hAnsi="Times New Roman" w:cs="Times New Roman"/>
        </w:rPr>
        <w:t xml:space="preserve"> en conflicten</w:t>
      </w:r>
      <w:r w:rsidR="009601B9" w:rsidRPr="00B25962">
        <w:rPr>
          <w:rFonts w:ascii="Times New Roman" w:hAnsi="Times New Roman" w:cs="Times New Roman"/>
        </w:rPr>
        <w:t>.</w:t>
      </w:r>
      <w:r w:rsidR="009601B9" w:rsidRPr="00B25962">
        <w:rPr>
          <w:rStyle w:val="FootnoteReference"/>
          <w:rFonts w:ascii="Times New Roman" w:hAnsi="Times New Roman" w:cs="Times New Roman"/>
        </w:rPr>
        <w:footnoteReference w:id="3"/>
      </w:r>
      <w:r w:rsidR="009601B9" w:rsidRPr="00B25962">
        <w:rPr>
          <w:rFonts w:ascii="Times New Roman" w:hAnsi="Times New Roman" w:cs="Times New Roman"/>
        </w:rPr>
        <w:t xml:space="preserve"> </w:t>
      </w:r>
    </w:p>
    <w:p w14:paraId="7963FE52" w14:textId="38ED445B" w:rsidR="00CF0E32" w:rsidRPr="00B25962" w:rsidRDefault="00AE6E8E" w:rsidP="00B25962">
      <w:pPr>
        <w:ind w:firstLine="708"/>
        <w:jc w:val="both"/>
        <w:rPr>
          <w:rFonts w:ascii="Times New Roman" w:hAnsi="Times New Roman" w:cs="Times New Roman"/>
        </w:rPr>
      </w:pPr>
      <w:r w:rsidRPr="00B25962">
        <w:rPr>
          <w:rFonts w:ascii="Times New Roman" w:hAnsi="Times New Roman" w:cs="Times New Roman"/>
        </w:rPr>
        <w:t xml:space="preserve">De kinderopvangtoeslagaffaire heeft in dit verband gewerkt als een katalysator. </w:t>
      </w:r>
      <w:r w:rsidR="00CF0E32" w:rsidRPr="00B25962">
        <w:rPr>
          <w:rFonts w:ascii="Times New Roman" w:hAnsi="Times New Roman" w:cs="Times New Roman"/>
        </w:rPr>
        <w:t xml:space="preserve">Nooit meer </w:t>
      </w:r>
      <w:r w:rsidR="00436DDC" w:rsidRPr="00B25962">
        <w:rPr>
          <w:rFonts w:ascii="Times New Roman" w:hAnsi="Times New Roman" w:cs="Times New Roman"/>
        </w:rPr>
        <w:t xml:space="preserve">zouden burgers zo mogen worden vermalen in de overheidsbureaucratie. </w:t>
      </w:r>
      <w:r w:rsidR="00CF0E32" w:rsidRPr="00B25962">
        <w:rPr>
          <w:rFonts w:ascii="Times New Roman" w:hAnsi="Times New Roman" w:cs="Times New Roman"/>
        </w:rPr>
        <w:t>Voortaan moe</w:t>
      </w:r>
      <w:r w:rsidR="009601B9" w:rsidRPr="00B25962">
        <w:rPr>
          <w:rFonts w:ascii="Times New Roman" w:hAnsi="Times New Roman" w:cs="Times New Roman"/>
        </w:rPr>
        <w:t>s</w:t>
      </w:r>
      <w:r w:rsidR="00CF0E32" w:rsidRPr="00B25962">
        <w:rPr>
          <w:rFonts w:ascii="Times New Roman" w:hAnsi="Times New Roman" w:cs="Times New Roman"/>
        </w:rPr>
        <w:t>t er meer ruimte zijn voor</w:t>
      </w:r>
      <w:r w:rsidR="009601B9" w:rsidRPr="00B25962">
        <w:rPr>
          <w:rFonts w:ascii="Times New Roman" w:hAnsi="Times New Roman" w:cs="Times New Roman"/>
        </w:rPr>
        <w:t xml:space="preserve"> de menselijke maat, in regelgeving en de uitvoeringspraktijk</w:t>
      </w:r>
      <w:r w:rsidR="00CF0E32" w:rsidRPr="00B25962">
        <w:rPr>
          <w:rFonts w:ascii="Times New Roman" w:hAnsi="Times New Roman" w:cs="Times New Roman"/>
        </w:rPr>
        <w:t>.</w:t>
      </w:r>
      <w:r w:rsidR="009601B9" w:rsidRPr="00B25962">
        <w:rPr>
          <w:rStyle w:val="FootnoteReference"/>
          <w:rFonts w:ascii="Times New Roman" w:hAnsi="Times New Roman" w:cs="Times New Roman"/>
        </w:rPr>
        <w:footnoteReference w:id="4"/>
      </w:r>
      <w:r w:rsidR="00CF0E32" w:rsidRPr="00B25962">
        <w:rPr>
          <w:rFonts w:ascii="Times New Roman" w:hAnsi="Times New Roman" w:cs="Times New Roman"/>
        </w:rPr>
        <w:t xml:space="preserve"> Tegen deze achtergrond is d</w:t>
      </w:r>
      <w:r w:rsidRPr="00B25962">
        <w:rPr>
          <w:rFonts w:ascii="Times New Roman" w:hAnsi="Times New Roman" w:cs="Times New Roman"/>
        </w:rPr>
        <w:t>e wetgever</w:t>
      </w:r>
      <w:r w:rsidR="00CF0E32" w:rsidRPr="00B25962">
        <w:rPr>
          <w:rFonts w:ascii="Times New Roman" w:hAnsi="Times New Roman" w:cs="Times New Roman"/>
        </w:rPr>
        <w:t xml:space="preserve"> druk bezig </w:t>
      </w:r>
      <w:r w:rsidR="009601B9" w:rsidRPr="00B25962">
        <w:rPr>
          <w:rFonts w:ascii="Times New Roman" w:hAnsi="Times New Roman" w:cs="Times New Roman"/>
        </w:rPr>
        <w:t>hardheidsclausules in te bouwen i</w:t>
      </w:r>
      <w:r w:rsidR="006A7C3E" w:rsidRPr="00B25962">
        <w:rPr>
          <w:rFonts w:ascii="Times New Roman" w:hAnsi="Times New Roman" w:cs="Times New Roman"/>
        </w:rPr>
        <w:t xml:space="preserve">n sectorwetgeving en in </w:t>
      </w:r>
      <w:r w:rsidR="009A0D79" w:rsidRPr="00B25962">
        <w:rPr>
          <w:rFonts w:ascii="Times New Roman" w:hAnsi="Times New Roman" w:cs="Times New Roman"/>
        </w:rPr>
        <w:t>de Algemene wet bestuursrecht</w:t>
      </w:r>
      <w:r w:rsidR="002E4DFA">
        <w:rPr>
          <w:rFonts w:ascii="Times New Roman" w:hAnsi="Times New Roman" w:cs="Times New Roman"/>
        </w:rPr>
        <w:t xml:space="preserve"> (hierna: </w:t>
      </w:r>
      <w:proofErr w:type="spellStart"/>
      <w:r w:rsidR="002E4DFA">
        <w:rPr>
          <w:rFonts w:ascii="Times New Roman" w:hAnsi="Times New Roman" w:cs="Times New Roman"/>
        </w:rPr>
        <w:t>Awb</w:t>
      </w:r>
      <w:proofErr w:type="spellEnd"/>
      <w:r w:rsidR="002E4DFA">
        <w:rPr>
          <w:rFonts w:ascii="Times New Roman" w:hAnsi="Times New Roman" w:cs="Times New Roman"/>
        </w:rPr>
        <w:t>)</w:t>
      </w:r>
      <w:r w:rsidR="009A0D79" w:rsidRPr="00B25962">
        <w:rPr>
          <w:rFonts w:ascii="Times New Roman" w:hAnsi="Times New Roman" w:cs="Times New Roman"/>
        </w:rPr>
        <w:t xml:space="preserve"> en toetst d</w:t>
      </w:r>
      <w:r w:rsidRPr="00B25962">
        <w:rPr>
          <w:rFonts w:ascii="Times New Roman" w:hAnsi="Times New Roman" w:cs="Times New Roman"/>
        </w:rPr>
        <w:t>e bestuursrechter bestuursbesluiten</w:t>
      </w:r>
      <w:r w:rsidR="009A0D79" w:rsidRPr="00B25962">
        <w:rPr>
          <w:rFonts w:ascii="Times New Roman" w:hAnsi="Times New Roman" w:cs="Times New Roman"/>
        </w:rPr>
        <w:t xml:space="preserve"> indringender op evenredigheid.</w:t>
      </w:r>
      <w:r w:rsidR="009601B9" w:rsidRPr="00B25962">
        <w:rPr>
          <w:rStyle w:val="FootnoteReference"/>
          <w:rFonts w:ascii="Times New Roman" w:hAnsi="Times New Roman" w:cs="Times New Roman"/>
        </w:rPr>
        <w:footnoteReference w:id="5"/>
      </w:r>
      <w:r w:rsidR="00196366" w:rsidRPr="00B25962">
        <w:rPr>
          <w:rFonts w:ascii="Times New Roman" w:hAnsi="Times New Roman" w:cs="Times New Roman"/>
        </w:rPr>
        <w:t xml:space="preserve"> Ook </w:t>
      </w:r>
      <w:r w:rsidRPr="00B25962">
        <w:rPr>
          <w:rFonts w:ascii="Times New Roman" w:hAnsi="Times New Roman" w:cs="Times New Roman"/>
        </w:rPr>
        <w:t>juridische professionals</w:t>
      </w:r>
      <w:r w:rsidR="001B2362" w:rsidRPr="00B25962">
        <w:rPr>
          <w:rFonts w:ascii="Times New Roman" w:hAnsi="Times New Roman" w:cs="Times New Roman"/>
        </w:rPr>
        <w:t xml:space="preserve"> binnen de overheid</w:t>
      </w:r>
      <w:r w:rsidRPr="00B25962">
        <w:rPr>
          <w:rFonts w:ascii="Times New Roman" w:hAnsi="Times New Roman" w:cs="Times New Roman"/>
        </w:rPr>
        <w:t xml:space="preserve"> </w:t>
      </w:r>
      <w:r w:rsidR="00196366" w:rsidRPr="00B25962">
        <w:rPr>
          <w:rFonts w:ascii="Times New Roman" w:hAnsi="Times New Roman" w:cs="Times New Roman"/>
        </w:rPr>
        <w:t xml:space="preserve">bezinnen </w:t>
      </w:r>
      <w:r w:rsidRPr="00B25962">
        <w:rPr>
          <w:rFonts w:ascii="Times New Roman" w:hAnsi="Times New Roman" w:cs="Times New Roman"/>
        </w:rPr>
        <w:t>zich op hun vakmanschap</w:t>
      </w:r>
      <w:r w:rsidR="00196366" w:rsidRPr="00B25962">
        <w:rPr>
          <w:rFonts w:ascii="Times New Roman" w:hAnsi="Times New Roman" w:cs="Times New Roman"/>
        </w:rPr>
        <w:t>: h</w:t>
      </w:r>
      <w:r w:rsidR="00CF0E32" w:rsidRPr="00B25962">
        <w:rPr>
          <w:rFonts w:ascii="Times New Roman" w:hAnsi="Times New Roman" w:cs="Times New Roman"/>
        </w:rPr>
        <w:t>oe verantwoord maatwerk te bieden?</w:t>
      </w:r>
      <w:r w:rsidR="001B2362" w:rsidRPr="00B25962">
        <w:rPr>
          <w:rStyle w:val="FootnoteReference"/>
          <w:rFonts w:ascii="Times New Roman" w:hAnsi="Times New Roman" w:cs="Times New Roman"/>
        </w:rPr>
        <w:footnoteReference w:id="6"/>
      </w:r>
    </w:p>
    <w:p w14:paraId="13E5DF19" w14:textId="40D8060C" w:rsidR="009A0D79" w:rsidRPr="00B25962" w:rsidRDefault="00CF0E32" w:rsidP="00B25962">
      <w:pPr>
        <w:ind w:firstLine="708"/>
        <w:jc w:val="both"/>
        <w:rPr>
          <w:rFonts w:ascii="Times New Roman" w:hAnsi="Times New Roman" w:cs="Times New Roman"/>
          <w:color w:val="000000" w:themeColor="text1"/>
        </w:rPr>
      </w:pPr>
      <w:r w:rsidRPr="00B25962">
        <w:rPr>
          <w:rFonts w:ascii="Times New Roman" w:hAnsi="Times New Roman" w:cs="Times New Roman"/>
        </w:rPr>
        <w:t xml:space="preserve">In hoeverre </w:t>
      </w:r>
      <w:r w:rsidR="00AD2B3C" w:rsidRPr="00B25962">
        <w:rPr>
          <w:rFonts w:ascii="Times New Roman" w:hAnsi="Times New Roman" w:cs="Times New Roman"/>
        </w:rPr>
        <w:t>is deze verandering</w:t>
      </w:r>
      <w:r w:rsidRPr="00B25962">
        <w:rPr>
          <w:rFonts w:ascii="Times New Roman" w:hAnsi="Times New Roman" w:cs="Times New Roman"/>
        </w:rPr>
        <w:t xml:space="preserve"> ook</w:t>
      </w:r>
      <w:r w:rsidR="00AD2B3C" w:rsidRPr="00B25962">
        <w:rPr>
          <w:rFonts w:ascii="Times New Roman" w:hAnsi="Times New Roman" w:cs="Times New Roman"/>
        </w:rPr>
        <w:t xml:space="preserve"> merkbaar </w:t>
      </w:r>
      <w:r w:rsidRPr="00B25962">
        <w:rPr>
          <w:rFonts w:ascii="Times New Roman" w:hAnsi="Times New Roman" w:cs="Times New Roman"/>
        </w:rPr>
        <w:t xml:space="preserve">in de </w:t>
      </w:r>
      <w:proofErr w:type="spellStart"/>
      <w:r w:rsidRPr="00B25962">
        <w:rPr>
          <w:rFonts w:ascii="Times New Roman" w:hAnsi="Times New Roman" w:cs="Times New Roman"/>
        </w:rPr>
        <w:t>bestuursstrafrechtspleging</w:t>
      </w:r>
      <w:proofErr w:type="spellEnd"/>
      <w:r w:rsidRPr="00B25962">
        <w:rPr>
          <w:rFonts w:ascii="Times New Roman" w:hAnsi="Times New Roman" w:cs="Times New Roman"/>
        </w:rPr>
        <w:t>?</w:t>
      </w:r>
      <w:r w:rsidR="002E4DFA">
        <w:rPr>
          <w:rStyle w:val="FootnoteReference"/>
          <w:rFonts w:ascii="Times New Roman" w:hAnsi="Times New Roman" w:cs="Times New Roman"/>
        </w:rPr>
        <w:footnoteReference w:id="7"/>
      </w:r>
      <w:r w:rsidRPr="00B25962">
        <w:rPr>
          <w:rFonts w:ascii="Times New Roman" w:hAnsi="Times New Roman" w:cs="Times New Roman"/>
        </w:rPr>
        <w:t xml:space="preserve"> </w:t>
      </w:r>
      <w:r w:rsidR="00AD2B3C" w:rsidRPr="00B25962">
        <w:rPr>
          <w:rFonts w:ascii="Times New Roman" w:hAnsi="Times New Roman" w:cs="Times New Roman"/>
        </w:rPr>
        <w:t xml:space="preserve">Van oudsher een sterk legalistische praktijk. Hoe responsief is de </w:t>
      </w:r>
      <w:proofErr w:type="spellStart"/>
      <w:r w:rsidR="00AD2B3C" w:rsidRPr="00B25962">
        <w:rPr>
          <w:rFonts w:ascii="Times New Roman" w:hAnsi="Times New Roman" w:cs="Times New Roman"/>
        </w:rPr>
        <w:t>bestuursstrafrechtspleging</w:t>
      </w:r>
      <w:proofErr w:type="spellEnd"/>
      <w:r w:rsidR="00AD2B3C" w:rsidRPr="00B25962">
        <w:rPr>
          <w:rFonts w:ascii="Times New Roman" w:hAnsi="Times New Roman" w:cs="Times New Roman"/>
          <w:color w:val="000000" w:themeColor="text1"/>
        </w:rPr>
        <w:t xml:space="preserve">? </w:t>
      </w:r>
      <w:r w:rsidR="009601B9" w:rsidRPr="00B25962">
        <w:rPr>
          <w:rFonts w:ascii="Times New Roman" w:hAnsi="Times New Roman" w:cs="Times New Roman"/>
          <w:color w:val="000000" w:themeColor="text1"/>
        </w:rPr>
        <w:t xml:space="preserve">In hoeverre is daar sprake </w:t>
      </w:r>
      <w:r w:rsidR="009601B9" w:rsidRPr="00B25962">
        <w:rPr>
          <w:rFonts w:ascii="Times New Roman" w:hAnsi="Times New Roman" w:cs="Times New Roman"/>
        </w:rPr>
        <w:t xml:space="preserve">van </w:t>
      </w:r>
      <w:r w:rsidR="00836FCB" w:rsidRPr="00B25962">
        <w:rPr>
          <w:rFonts w:ascii="Times New Roman" w:hAnsi="Times New Roman" w:cs="Times New Roman"/>
        </w:rPr>
        <w:t xml:space="preserve">een </w:t>
      </w:r>
      <w:r w:rsidR="009601B9" w:rsidRPr="00B25962">
        <w:rPr>
          <w:rFonts w:ascii="Times New Roman" w:hAnsi="Times New Roman" w:cs="Times New Roman"/>
        </w:rPr>
        <w:t>passende afdoening?</w:t>
      </w:r>
      <w:r w:rsidR="00836FCB" w:rsidRPr="00B25962">
        <w:rPr>
          <w:rFonts w:ascii="Times New Roman" w:hAnsi="Times New Roman" w:cs="Times New Roman"/>
        </w:rPr>
        <w:t xml:space="preserve"> </w:t>
      </w:r>
      <w:r w:rsidR="00AD2B3C" w:rsidRPr="00B25962">
        <w:rPr>
          <w:rFonts w:ascii="Times New Roman" w:hAnsi="Times New Roman" w:cs="Times New Roman"/>
        </w:rPr>
        <w:t>Om deze vraag te beantwoorden concentreer ik mij op de zogenoemde boetefunctionaris</w:t>
      </w:r>
      <w:r w:rsidR="009A0D79" w:rsidRPr="00B25962">
        <w:rPr>
          <w:rFonts w:ascii="Times New Roman" w:hAnsi="Times New Roman" w:cs="Times New Roman"/>
        </w:rPr>
        <w:t xml:space="preserve"> in het financieel toezicht</w:t>
      </w:r>
      <w:r w:rsidR="00AD2B3C" w:rsidRPr="00B25962">
        <w:rPr>
          <w:rFonts w:ascii="Times New Roman" w:hAnsi="Times New Roman" w:cs="Times New Roman"/>
        </w:rPr>
        <w:t xml:space="preserve">. </w:t>
      </w:r>
      <w:r w:rsidRPr="00B25962">
        <w:rPr>
          <w:rFonts w:ascii="Times New Roman" w:hAnsi="Times New Roman" w:cs="Times New Roman"/>
        </w:rPr>
        <w:t>De</w:t>
      </w:r>
      <w:r w:rsidR="009A0D79" w:rsidRPr="00B25962">
        <w:rPr>
          <w:rFonts w:ascii="Times New Roman" w:hAnsi="Times New Roman" w:cs="Times New Roman"/>
        </w:rPr>
        <w:t xml:space="preserve">ze </w:t>
      </w:r>
      <w:r w:rsidRPr="00B25962">
        <w:rPr>
          <w:rFonts w:ascii="Times New Roman" w:hAnsi="Times New Roman" w:cs="Times New Roman"/>
        </w:rPr>
        <w:t>functionaris</w:t>
      </w:r>
      <w:r w:rsidR="00AD2B3C" w:rsidRPr="00B25962">
        <w:rPr>
          <w:rFonts w:ascii="Times New Roman" w:hAnsi="Times New Roman" w:cs="Times New Roman"/>
        </w:rPr>
        <w:t xml:space="preserve"> </w:t>
      </w:r>
      <w:r w:rsidRPr="00B25962">
        <w:rPr>
          <w:rFonts w:ascii="Times New Roman" w:hAnsi="Times New Roman" w:cs="Times New Roman"/>
        </w:rPr>
        <w:t xml:space="preserve">vervult in mijn ogen een sleutelrol. </w:t>
      </w:r>
      <w:r w:rsidR="004A6B63" w:rsidRPr="00B25962">
        <w:rPr>
          <w:rFonts w:ascii="Times New Roman" w:hAnsi="Times New Roman" w:cs="Times New Roman"/>
        </w:rPr>
        <w:t xml:space="preserve">Hij </w:t>
      </w:r>
      <w:r w:rsidR="00D944E7" w:rsidRPr="00B25962">
        <w:rPr>
          <w:rFonts w:ascii="Times New Roman" w:hAnsi="Times New Roman" w:cs="Times New Roman"/>
        </w:rPr>
        <w:t xml:space="preserve">of zij </w:t>
      </w:r>
      <w:r w:rsidR="00AD2B3C" w:rsidRPr="00B25962">
        <w:rPr>
          <w:rFonts w:ascii="Times New Roman" w:hAnsi="Times New Roman" w:cs="Times New Roman"/>
        </w:rPr>
        <w:t xml:space="preserve">zit immers aan de knoppen als het gaat om het opleggen van </w:t>
      </w:r>
      <w:r w:rsidR="009A0D79" w:rsidRPr="00B25962">
        <w:rPr>
          <w:rFonts w:ascii="Times New Roman" w:hAnsi="Times New Roman" w:cs="Times New Roman"/>
        </w:rPr>
        <w:t>een boete en het bepalen van de hoogte ervan. Laat de boetefunctionaris zich daarbij leiden door de letter of het doel van de we</w:t>
      </w:r>
      <w:r w:rsidR="003D6CED" w:rsidRPr="00B25962">
        <w:rPr>
          <w:rFonts w:ascii="Times New Roman" w:hAnsi="Times New Roman" w:cs="Times New Roman"/>
        </w:rPr>
        <w:t>t?</w:t>
      </w:r>
      <w:r w:rsidR="00F711D7" w:rsidRPr="00B25962">
        <w:rPr>
          <w:rFonts w:ascii="Times New Roman" w:hAnsi="Times New Roman" w:cs="Times New Roman"/>
        </w:rPr>
        <w:t xml:space="preserve"> Gaat die voor het uitdelen van een sanctie of het bevorderen van naleving? </w:t>
      </w:r>
      <w:r w:rsidR="00935F49" w:rsidRPr="00B25962">
        <w:rPr>
          <w:rFonts w:ascii="Times New Roman" w:hAnsi="Times New Roman" w:cs="Times New Roman"/>
        </w:rPr>
        <w:t>Met andere woorden, hoe responsief is de boetefunctionaris?</w:t>
      </w:r>
    </w:p>
    <w:p w14:paraId="09F4A9DF" w14:textId="69B970C7" w:rsidR="00D42B03" w:rsidRPr="00B25962" w:rsidRDefault="00D42B03" w:rsidP="00B25962">
      <w:pPr>
        <w:ind w:firstLine="357"/>
        <w:jc w:val="both"/>
        <w:rPr>
          <w:rFonts w:ascii="Times New Roman" w:hAnsi="Times New Roman" w:cs="Times New Roman"/>
        </w:rPr>
      </w:pPr>
      <w:r w:rsidRPr="00B25962">
        <w:rPr>
          <w:rFonts w:ascii="Times New Roman" w:hAnsi="Times New Roman" w:cs="Times New Roman"/>
        </w:rPr>
        <w:t>Voordat ik dieper inga op de rol van de boetefunctionaris, schets ik eerst een beeld van de veranderende context waarbinnen d</w:t>
      </w:r>
      <w:r w:rsidR="00F711D7" w:rsidRPr="00B25962">
        <w:rPr>
          <w:rFonts w:ascii="Times New Roman" w:hAnsi="Times New Roman" w:cs="Times New Roman"/>
        </w:rPr>
        <w:t>ie functionaris</w:t>
      </w:r>
      <w:r w:rsidRPr="00B25962">
        <w:rPr>
          <w:rFonts w:ascii="Times New Roman" w:hAnsi="Times New Roman" w:cs="Times New Roman"/>
        </w:rPr>
        <w:t xml:space="preserve"> (</w:t>
      </w:r>
      <w:r w:rsidR="00BF6A64" w:rsidRPr="00B25962">
        <w:rPr>
          <w:rFonts w:ascii="Times New Roman" w:hAnsi="Times New Roman" w:cs="Times New Roman"/>
        </w:rPr>
        <w:t>en andere juridische professionals</w:t>
      </w:r>
      <w:r w:rsidR="002722CD" w:rsidRPr="00B25962">
        <w:rPr>
          <w:rFonts w:ascii="Times New Roman" w:hAnsi="Times New Roman" w:cs="Times New Roman"/>
        </w:rPr>
        <w:t xml:space="preserve"> bij de overheid</w:t>
      </w:r>
      <w:r w:rsidR="00BF6A64" w:rsidRPr="00B25962">
        <w:rPr>
          <w:rFonts w:ascii="Times New Roman" w:hAnsi="Times New Roman" w:cs="Times New Roman"/>
        </w:rPr>
        <w:t xml:space="preserve">) </w:t>
      </w:r>
      <w:r w:rsidR="003C4FD6" w:rsidRPr="00B25962">
        <w:rPr>
          <w:rFonts w:ascii="Times New Roman" w:hAnsi="Times New Roman" w:cs="Times New Roman"/>
        </w:rPr>
        <w:t xml:space="preserve">moet </w:t>
      </w:r>
      <w:r w:rsidRPr="00B25962">
        <w:rPr>
          <w:rFonts w:ascii="Times New Roman" w:hAnsi="Times New Roman" w:cs="Times New Roman"/>
        </w:rPr>
        <w:t>opere</w:t>
      </w:r>
      <w:r w:rsidR="003C4FD6" w:rsidRPr="00B25962">
        <w:rPr>
          <w:rFonts w:ascii="Times New Roman" w:hAnsi="Times New Roman" w:cs="Times New Roman"/>
        </w:rPr>
        <w:t>ren</w:t>
      </w:r>
      <w:r w:rsidRPr="00B25962">
        <w:rPr>
          <w:rFonts w:ascii="Times New Roman" w:hAnsi="Times New Roman" w:cs="Times New Roman"/>
        </w:rPr>
        <w:t xml:space="preserve">: de transformatie naar een responsieve rechtsstaat. </w:t>
      </w:r>
    </w:p>
    <w:p w14:paraId="63EF7DE8" w14:textId="77777777" w:rsidR="00ED4E1C" w:rsidRDefault="00ED4E1C" w:rsidP="00B25962">
      <w:pPr>
        <w:jc w:val="both"/>
        <w:rPr>
          <w:rFonts w:ascii="Times New Roman" w:hAnsi="Times New Roman" w:cs="Times New Roman"/>
          <w:color w:val="000000" w:themeColor="text1"/>
        </w:rPr>
      </w:pPr>
    </w:p>
    <w:p w14:paraId="666A9067" w14:textId="77777777" w:rsidR="00B25962" w:rsidRDefault="00B25962" w:rsidP="00B25962">
      <w:pPr>
        <w:jc w:val="both"/>
        <w:rPr>
          <w:rFonts w:ascii="Times New Roman" w:hAnsi="Times New Roman" w:cs="Times New Roman"/>
          <w:color w:val="000000" w:themeColor="text1"/>
        </w:rPr>
      </w:pPr>
    </w:p>
    <w:p w14:paraId="23513CF4" w14:textId="77777777" w:rsidR="00B25962" w:rsidRPr="00B25962" w:rsidRDefault="00B25962" w:rsidP="00B25962">
      <w:pPr>
        <w:jc w:val="both"/>
        <w:rPr>
          <w:rFonts w:ascii="Times New Roman" w:hAnsi="Times New Roman" w:cs="Times New Roman"/>
          <w:color w:val="000000" w:themeColor="text1"/>
        </w:rPr>
      </w:pPr>
    </w:p>
    <w:p w14:paraId="0BCE276A" w14:textId="50434145" w:rsidR="00ED4E1C" w:rsidRPr="00B25962" w:rsidRDefault="00D138BA" w:rsidP="00B25962">
      <w:pPr>
        <w:pStyle w:val="ListParagraph"/>
        <w:numPr>
          <w:ilvl w:val="0"/>
          <w:numId w:val="1"/>
        </w:numPr>
        <w:ind w:left="357" w:hanging="357"/>
        <w:jc w:val="both"/>
        <w:rPr>
          <w:rFonts w:ascii="Times New Roman" w:hAnsi="Times New Roman" w:cs="Times New Roman"/>
          <w:b/>
          <w:bCs/>
          <w:color w:val="000000" w:themeColor="text1"/>
        </w:rPr>
      </w:pPr>
      <w:r w:rsidRPr="00B25962">
        <w:rPr>
          <w:rFonts w:ascii="Times New Roman" w:hAnsi="Times New Roman" w:cs="Times New Roman"/>
          <w:b/>
          <w:bCs/>
          <w:color w:val="000000" w:themeColor="text1"/>
        </w:rPr>
        <w:t>Responsiviteit als ideaal</w:t>
      </w:r>
      <w:r w:rsidR="00BE5BBD" w:rsidRPr="00B25962">
        <w:rPr>
          <w:rFonts w:ascii="Times New Roman" w:hAnsi="Times New Roman" w:cs="Times New Roman"/>
          <w:b/>
          <w:bCs/>
          <w:color w:val="000000" w:themeColor="text1"/>
        </w:rPr>
        <w:t>beeld</w:t>
      </w:r>
    </w:p>
    <w:p w14:paraId="3B6BF4EB" w14:textId="77777777" w:rsidR="00ED4E1C" w:rsidRPr="00B25962" w:rsidRDefault="00ED4E1C" w:rsidP="00B25962">
      <w:pPr>
        <w:jc w:val="both"/>
        <w:rPr>
          <w:rFonts w:ascii="Times New Roman" w:hAnsi="Times New Roman" w:cs="Times New Roman"/>
        </w:rPr>
      </w:pPr>
    </w:p>
    <w:p w14:paraId="29D3D0C0" w14:textId="52DD6EAA" w:rsidR="00132B7D" w:rsidRPr="00B25962" w:rsidRDefault="00132B7D"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De overheid is er voor de burger</w:t>
      </w:r>
    </w:p>
    <w:p w14:paraId="59A08DA4" w14:textId="77777777" w:rsidR="002E4DFA" w:rsidRDefault="002E4DFA" w:rsidP="00B25962">
      <w:pPr>
        <w:jc w:val="both"/>
        <w:rPr>
          <w:rFonts w:ascii="Times New Roman" w:hAnsi="Times New Roman" w:cs="Times New Roman"/>
        </w:rPr>
      </w:pPr>
    </w:p>
    <w:p w14:paraId="34C079DF" w14:textId="22D828C3" w:rsidR="007D55FA" w:rsidRPr="00B25962" w:rsidRDefault="00912D06" w:rsidP="00B25962">
      <w:pPr>
        <w:jc w:val="both"/>
        <w:rPr>
          <w:rFonts w:ascii="Times New Roman" w:hAnsi="Times New Roman" w:cs="Times New Roman"/>
        </w:rPr>
      </w:pPr>
      <w:r w:rsidRPr="00B25962">
        <w:rPr>
          <w:rFonts w:ascii="Times New Roman" w:hAnsi="Times New Roman" w:cs="Times New Roman"/>
        </w:rPr>
        <w:t>Het begrip ‘responsieve rechtsstaat’ is gemunt door Scheltema, de voormalig regeringscommissaris voor de algemene regels van bestuursrecht.</w:t>
      </w:r>
      <w:r w:rsidRPr="00B25962">
        <w:rPr>
          <w:rStyle w:val="FootnoteReference"/>
          <w:rFonts w:ascii="Times New Roman" w:hAnsi="Times New Roman" w:cs="Times New Roman"/>
        </w:rPr>
        <w:footnoteReference w:id="8"/>
      </w:r>
      <w:r w:rsidRPr="00B25962">
        <w:rPr>
          <w:rFonts w:ascii="Times New Roman" w:hAnsi="Times New Roman" w:cs="Times New Roman"/>
        </w:rPr>
        <w:t xml:space="preserve"> Met dit begrip wilde hij </w:t>
      </w:r>
      <w:r w:rsidR="00017451" w:rsidRPr="00B25962">
        <w:rPr>
          <w:rFonts w:ascii="Times New Roman" w:hAnsi="Times New Roman" w:cs="Times New Roman"/>
        </w:rPr>
        <w:t>het</w:t>
      </w:r>
      <w:r w:rsidR="00BF6A64" w:rsidRPr="00B25962">
        <w:rPr>
          <w:rFonts w:ascii="Times New Roman" w:hAnsi="Times New Roman" w:cs="Times New Roman"/>
        </w:rPr>
        <w:t xml:space="preserve"> ideaalbeeld </w:t>
      </w:r>
      <w:r w:rsidRPr="00B25962">
        <w:rPr>
          <w:rFonts w:ascii="Times New Roman" w:hAnsi="Times New Roman" w:cs="Times New Roman"/>
        </w:rPr>
        <w:t xml:space="preserve">onder woorden brengen </w:t>
      </w:r>
      <w:r w:rsidR="00BF6A64" w:rsidRPr="00B25962">
        <w:rPr>
          <w:rFonts w:ascii="Times New Roman" w:hAnsi="Times New Roman" w:cs="Times New Roman"/>
        </w:rPr>
        <w:t xml:space="preserve">waarin </w:t>
      </w:r>
      <w:r w:rsidRPr="00B25962">
        <w:rPr>
          <w:rFonts w:ascii="Times New Roman" w:hAnsi="Times New Roman" w:cs="Times New Roman"/>
        </w:rPr>
        <w:t xml:space="preserve">de overheid </w:t>
      </w:r>
      <w:r w:rsidR="002E3912" w:rsidRPr="00B25962">
        <w:rPr>
          <w:rFonts w:ascii="Times New Roman" w:hAnsi="Times New Roman" w:cs="Times New Roman"/>
        </w:rPr>
        <w:t xml:space="preserve">er voor de burger </w:t>
      </w:r>
      <w:r w:rsidR="00017451" w:rsidRPr="00B25962">
        <w:rPr>
          <w:rFonts w:ascii="Times New Roman" w:hAnsi="Times New Roman" w:cs="Times New Roman"/>
        </w:rPr>
        <w:t xml:space="preserve">is </w:t>
      </w:r>
      <w:r w:rsidR="00BF6A64" w:rsidRPr="00B25962">
        <w:rPr>
          <w:rFonts w:ascii="Times New Roman" w:hAnsi="Times New Roman" w:cs="Times New Roman"/>
        </w:rPr>
        <w:t xml:space="preserve">(in plaats van </w:t>
      </w:r>
      <w:r w:rsidR="002E3912" w:rsidRPr="00B25962">
        <w:rPr>
          <w:rFonts w:ascii="Times New Roman" w:hAnsi="Times New Roman" w:cs="Times New Roman"/>
        </w:rPr>
        <w:t>andersom</w:t>
      </w:r>
      <w:r w:rsidR="00BF6A64" w:rsidRPr="00B25962">
        <w:rPr>
          <w:rFonts w:ascii="Times New Roman" w:hAnsi="Times New Roman" w:cs="Times New Roman"/>
        </w:rPr>
        <w:t>)</w:t>
      </w:r>
      <w:r w:rsidRPr="00B25962">
        <w:rPr>
          <w:rFonts w:ascii="Times New Roman" w:hAnsi="Times New Roman" w:cs="Times New Roman"/>
        </w:rPr>
        <w:t>. In de responsieve rechtsstaat</w:t>
      </w:r>
      <w:r w:rsidR="002E3912" w:rsidRPr="00B25962">
        <w:rPr>
          <w:rFonts w:ascii="Times New Roman" w:hAnsi="Times New Roman" w:cs="Times New Roman"/>
        </w:rPr>
        <w:t xml:space="preserve"> </w:t>
      </w:r>
      <w:r w:rsidR="00400B58" w:rsidRPr="00B25962">
        <w:rPr>
          <w:rFonts w:ascii="Times New Roman" w:hAnsi="Times New Roman" w:cs="Times New Roman"/>
        </w:rPr>
        <w:t xml:space="preserve">volgens Scheltema </w:t>
      </w:r>
      <w:r w:rsidR="004074C7" w:rsidRPr="00B25962">
        <w:rPr>
          <w:rFonts w:ascii="Times New Roman" w:hAnsi="Times New Roman" w:cs="Times New Roman"/>
        </w:rPr>
        <w:t xml:space="preserve">hebben </w:t>
      </w:r>
      <w:r w:rsidR="00B87612" w:rsidRPr="00B25962">
        <w:rPr>
          <w:rFonts w:ascii="Times New Roman" w:hAnsi="Times New Roman" w:cs="Times New Roman"/>
        </w:rPr>
        <w:t xml:space="preserve">juridische professionals </w:t>
      </w:r>
      <w:r w:rsidRPr="00B25962">
        <w:rPr>
          <w:rFonts w:ascii="Times New Roman" w:hAnsi="Times New Roman" w:cs="Times New Roman"/>
        </w:rPr>
        <w:t xml:space="preserve">een scherper oog voor het </w:t>
      </w:r>
      <w:r w:rsidR="007D55FA" w:rsidRPr="00B25962">
        <w:rPr>
          <w:rFonts w:ascii="Times New Roman" w:hAnsi="Times New Roman" w:cs="Times New Roman"/>
        </w:rPr>
        <w:t xml:space="preserve">achterliggende </w:t>
      </w:r>
      <w:r w:rsidRPr="00B25962">
        <w:rPr>
          <w:rFonts w:ascii="Times New Roman" w:hAnsi="Times New Roman" w:cs="Times New Roman"/>
        </w:rPr>
        <w:t xml:space="preserve">maatschappelijke doel van de wettelijke regeling en de positie en belangen van de </w:t>
      </w:r>
      <w:r w:rsidR="00B87612" w:rsidRPr="00B25962">
        <w:rPr>
          <w:rFonts w:ascii="Times New Roman" w:hAnsi="Times New Roman" w:cs="Times New Roman"/>
        </w:rPr>
        <w:t>rechtszoekende</w:t>
      </w:r>
      <w:r w:rsidRPr="00B25962">
        <w:rPr>
          <w:rFonts w:ascii="Times New Roman" w:hAnsi="Times New Roman" w:cs="Times New Roman"/>
        </w:rPr>
        <w:t xml:space="preserve">. </w:t>
      </w:r>
      <w:r w:rsidR="007D55FA" w:rsidRPr="00B25962">
        <w:rPr>
          <w:rFonts w:ascii="Times New Roman" w:hAnsi="Times New Roman" w:cs="Times New Roman"/>
        </w:rPr>
        <w:t xml:space="preserve">In de responsieve rechtsstaat staat het recht niet op zichzelf (autonoom), maar ten dienste </w:t>
      </w:r>
      <w:r w:rsidR="009B4E64" w:rsidRPr="00B25962">
        <w:rPr>
          <w:rFonts w:ascii="Times New Roman" w:hAnsi="Times New Roman" w:cs="Times New Roman"/>
        </w:rPr>
        <w:t>v</w:t>
      </w:r>
      <w:r w:rsidR="007D55FA" w:rsidRPr="00B25962">
        <w:rPr>
          <w:rFonts w:ascii="Times New Roman" w:hAnsi="Times New Roman" w:cs="Times New Roman"/>
        </w:rPr>
        <w:t xml:space="preserve">an maatschappelijke verandering. </w:t>
      </w:r>
    </w:p>
    <w:p w14:paraId="6C5CC9E5" w14:textId="6101C43D" w:rsidR="00912D06" w:rsidRPr="00B25962" w:rsidRDefault="00912D06" w:rsidP="00B25962">
      <w:pPr>
        <w:ind w:firstLine="360"/>
        <w:jc w:val="both"/>
        <w:rPr>
          <w:rFonts w:ascii="Times New Roman" w:hAnsi="Times New Roman" w:cs="Times New Roman"/>
        </w:rPr>
      </w:pPr>
      <w:r w:rsidRPr="00B25962">
        <w:rPr>
          <w:rFonts w:ascii="Times New Roman" w:hAnsi="Times New Roman" w:cs="Times New Roman"/>
        </w:rPr>
        <w:t xml:space="preserve">Scheltema zet het beeld van de responsieve rechtsstaat </w:t>
      </w:r>
      <w:r w:rsidR="009B6853" w:rsidRPr="00B25962">
        <w:rPr>
          <w:rFonts w:ascii="Times New Roman" w:hAnsi="Times New Roman" w:cs="Times New Roman"/>
        </w:rPr>
        <w:t xml:space="preserve">nadrukkelijk </w:t>
      </w:r>
      <w:r w:rsidRPr="00B25962">
        <w:rPr>
          <w:rFonts w:ascii="Times New Roman" w:hAnsi="Times New Roman" w:cs="Times New Roman"/>
        </w:rPr>
        <w:t xml:space="preserve">af tegen de </w:t>
      </w:r>
      <w:r w:rsidR="00B87612" w:rsidRPr="00B25962">
        <w:rPr>
          <w:rFonts w:ascii="Times New Roman" w:hAnsi="Times New Roman" w:cs="Times New Roman"/>
        </w:rPr>
        <w:t xml:space="preserve">bureaucratische rechtsstaat. </w:t>
      </w:r>
      <w:r w:rsidR="00400B58" w:rsidRPr="00B25962">
        <w:rPr>
          <w:rFonts w:ascii="Times New Roman" w:hAnsi="Times New Roman" w:cs="Times New Roman"/>
        </w:rPr>
        <w:t>In de bureaucratische rechtsstaat w</w:t>
      </w:r>
      <w:r w:rsidR="00B87612" w:rsidRPr="00B25962">
        <w:rPr>
          <w:rFonts w:ascii="Times New Roman" w:hAnsi="Times New Roman" w:cs="Times New Roman"/>
        </w:rPr>
        <w:t>ordt het optreden van juridische professionals vaak als formalistisch en afstandelijk ervaren.</w:t>
      </w:r>
      <w:r w:rsidR="007D55FA" w:rsidRPr="00B25962">
        <w:rPr>
          <w:rFonts w:ascii="Times New Roman" w:hAnsi="Times New Roman" w:cs="Times New Roman"/>
        </w:rPr>
        <w:t xml:space="preserve"> Wat juridische professionals als vanzelfsprekend als rechtmatig zien, </w:t>
      </w:r>
      <w:r w:rsidR="009B6853" w:rsidRPr="00B25962">
        <w:rPr>
          <w:rFonts w:ascii="Times New Roman" w:hAnsi="Times New Roman" w:cs="Times New Roman"/>
        </w:rPr>
        <w:t>is in de ogen van</w:t>
      </w:r>
      <w:r w:rsidR="007D55FA" w:rsidRPr="00B25962">
        <w:rPr>
          <w:rFonts w:ascii="Times New Roman" w:hAnsi="Times New Roman" w:cs="Times New Roman"/>
        </w:rPr>
        <w:t xml:space="preserve"> rechtszoekenden nogal eens als oneerlijk of onrechtvaardig</w:t>
      </w:r>
      <w:r w:rsidR="004074C7" w:rsidRPr="00B25962">
        <w:rPr>
          <w:rFonts w:ascii="Times New Roman" w:hAnsi="Times New Roman" w:cs="Times New Roman"/>
        </w:rPr>
        <w:t xml:space="preserve">, </w:t>
      </w:r>
      <w:r w:rsidR="009B4E64" w:rsidRPr="00B25962">
        <w:rPr>
          <w:rFonts w:ascii="Times New Roman" w:hAnsi="Times New Roman" w:cs="Times New Roman"/>
        </w:rPr>
        <w:t xml:space="preserve">aldus </w:t>
      </w:r>
      <w:r w:rsidR="004074C7" w:rsidRPr="00B25962">
        <w:rPr>
          <w:rFonts w:ascii="Times New Roman" w:hAnsi="Times New Roman" w:cs="Times New Roman"/>
        </w:rPr>
        <w:t>Scheltema</w:t>
      </w:r>
      <w:r w:rsidR="007D55FA" w:rsidRPr="00B25962">
        <w:rPr>
          <w:rFonts w:ascii="Times New Roman" w:hAnsi="Times New Roman" w:cs="Times New Roman"/>
        </w:rPr>
        <w:t>.</w:t>
      </w:r>
      <w:r w:rsidR="00862D37" w:rsidRPr="00B25962">
        <w:rPr>
          <w:rFonts w:ascii="Times New Roman" w:hAnsi="Times New Roman" w:cs="Times New Roman"/>
        </w:rPr>
        <w:t xml:space="preserve"> </w:t>
      </w:r>
      <w:r w:rsidR="009B4E64" w:rsidRPr="00B25962">
        <w:rPr>
          <w:rFonts w:ascii="Times New Roman" w:hAnsi="Times New Roman" w:cs="Times New Roman"/>
        </w:rPr>
        <w:t>Immers, in</w:t>
      </w:r>
      <w:r w:rsidR="00862D37" w:rsidRPr="00B25962">
        <w:rPr>
          <w:rFonts w:ascii="Times New Roman" w:hAnsi="Times New Roman" w:cs="Times New Roman"/>
        </w:rPr>
        <w:t xml:space="preserve"> de bureaucratische rechtsstaat </w:t>
      </w:r>
      <w:r w:rsidR="009B4E64" w:rsidRPr="00B25962">
        <w:rPr>
          <w:rFonts w:ascii="Times New Roman" w:hAnsi="Times New Roman" w:cs="Times New Roman"/>
        </w:rPr>
        <w:t xml:space="preserve">staan </w:t>
      </w:r>
      <w:r w:rsidR="00862D37" w:rsidRPr="00B25962">
        <w:rPr>
          <w:rFonts w:ascii="Times New Roman" w:hAnsi="Times New Roman" w:cs="Times New Roman"/>
        </w:rPr>
        <w:t xml:space="preserve">rechtszekerheid, rechtmatigheid en voorspelbaarheid </w:t>
      </w:r>
      <w:r w:rsidR="004074C7" w:rsidRPr="00B25962">
        <w:rPr>
          <w:rFonts w:ascii="Times New Roman" w:hAnsi="Times New Roman" w:cs="Times New Roman"/>
        </w:rPr>
        <w:t>centraal</w:t>
      </w:r>
      <w:r w:rsidR="00282F4C" w:rsidRPr="00B25962">
        <w:rPr>
          <w:rFonts w:ascii="Times New Roman" w:hAnsi="Times New Roman" w:cs="Times New Roman"/>
        </w:rPr>
        <w:t xml:space="preserve">, </w:t>
      </w:r>
      <w:r w:rsidR="009B4E64" w:rsidRPr="00B25962">
        <w:rPr>
          <w:rFonts w:ascii="Times New Roman" w:hAnsi="Times New Roman" w:cs="Times New Roman"/>
        </w:rPr>
        <w:t xml:space="preserve">terwijl het </w:t>
      </w:r>
      <w:r w:rsidR="00282F4C" w:rsidRPr="00B25962">
        <w:rPr>
          <w:rFonts w:ascii="Times New Roman" w:hAnsi="Times New Roman" w:cs="Times New Roman"/>
        </w:rPr>
        <w:t xml:space="preserve">in </w:t>
      </w:r>
      <w:r w:rsidR="000505FB" w:rsidRPr="00B25962">
        <w:rPr>
          <w:rFonts w:ascii="Times New Roman" w:hAnsi="Times New Roman" w:cs="Times New Roman"/>
        </w:rPr>
        <w:t xml:space="preserve">de responsieve rechtsstaat </w:t>
      </w:r>
      <w:r w:rsidR="009B4E64" w:rsidRPr="00B25962">
        <w:rPr>
          <w:rFonts w:ascii="Times New Roman" w:hAnsi="Times New Roman" w:cs="Times New Roman"/>
        </w:rPr>
        <w:t xml:space="preserve">draait </w:t>
      </w:r>
      <w:r w:rsidR="00400B58" w:rsidRPr="00B25962">
        <w:rPr>
          <w:rFonts w:ascii="Times New Roman" w:hAnsi="Times New Roman" w:cs="Times New Roman"/>
        </w:rPr>
        <w:t xml:space="preserve">om rechtvaardigheid en behoorlijk bestuur. </w:t>
      </w:r>
      <w:r w:rsidR="009B4E64" w:rsidRPr="00B25962">
        <w:rPr>
          <w:rFonts w:ascii="Times New Roman" w:hAnsi="Times New Roman" w:cs="Times New Roman"/>
        </w:rPr>
        <w:t xml:space="preserve">De </w:t>
      </w:r>
      <w:r w:rsidR="00B83B0F" w:rsidRPr="00B25962">
        <w:rPr>
          <w:rFonts w:ascii="Times New Roman" w:hAnsi="Times New Roman" w:cs="Times New Roman"/>
        </w:rPr>
        <w:t xml:space="preserve">responsieve rechtsstaat staat </w:t>
      </w:r>
      <w:r w:rsidR="009B4E64" w:rsidRPr="00B25962">
        <w:rPr>
          <w:rFonts w:ascii="Times New Roman" w:hAnsi="Times New Roman" w:cs="Times New Roman"/>
        </w:rPr>
        <w:t>in het teken van conflict</w:t>
      </w:r>
      <w:r w:rsidR="000505FB" w:rsidRPr="00B25962">
        <w:rPr>
          <w:rFonts w:ascii="Times New Roman" w:hAnsi="Times New Roman" w:cs="Times New Roman"/>
        </w:rPr>
        <w:t>oploss</w:t>
      </w:r>
      <w:r w:rsidR="009B4E64" w:rsidRPr="00B25962">
        <w:rPr>
          <w:rFonts w:ascii="Times New Roman" w:hAnsi="Times New Roman" w:cs="Times New Roman"/>
        </w:rPr>
        <w:t>ing</w:t>
      </w:r>
      <w:r w:rsidR="004074C7" w:rsidRPr="00B25962">
        <w:rPr>
          <w:rFonts w:ascii="Times New Roman" w:hAnsi="Times New Roman" w:cs="Times New Roman"/>
        </w:rPr>
        <w:t xml:space="preserve">, </w:t>
      </w:r>
      <w:r w:rsidR="009B4E64" w:rsidRPr="00B25962">
        <w:rPr>
          <w:rFonts w:ascii="Times New Roman" w:hAnsi="Times New Roman" w:cs="Times New Roman"/>
        </w:rPr>
        <w:t xml:space="preserve">bijvoorbeeld </w:t>
      </w:r>
      <w:r w:rsidR="000505FB" w:rsidRPr="00B25962">
        <w:rPr>
          <w:rFonts w:ascii="Times New Roman" w:hAnsi="Times New Roman" w:cs="Times New Roman"/>
        </w:rPr>
        <w:t xml:space="preserve">door het leveren van op de rechtszoekende toegespitst maatwerk. </w:t>
      </w:r>
      <w:r w:rsidR="00B87612" w:rsidRPr="00B25962">
        <w:rPr>
          <w:rFonts w:ascii="Times New Roman" w:hAnsi="Times New Roman" w:cs="Times New Roman"/>
        </w:rPr>
        <w:t xml:space="preserve"> </w:t>
      </w:r>
    </w:p>
    <w:p w14:paraId="7DCF334E" w14:textId="77777777" w:rsidR="007D55FA" w:rsidRPr="00B25962" w:rsidRDefault="007D55FA" w:rsidP="00B25962">
      <w:pPr>
        <w:jc w:val="both"/>
        <w:rPr>
          <w:rFonts w:ascii="Times New Roman" w:hAnsi="Times New Roman" w:cs="Times New Roman"/>
        </w:rPr>
      </w:pPr>
    </w:p>
    <w:p w14:paraId="50EF4163" w14:textId="704A8875" w:rsidR="00132B7D" w:rsidRPr="00B25962" w:rsidRDefault="00132B7D" w:rsidP="00BE7FBD">
      <w:pPr>
        <w:pStyle w:val="ListParagraph"/>
        <w:numPr>
          <w:ilvl w:val="1"/>
          <w:numId w:val="1"/>
        </w:numPr>
        <w:ind w:left="357" w:hanging="357"/>
        <w:jc w:val="both"/>
        <w:rPr>
          <w:rFonts w:ascii="Times New Roman" w:hAnsi="Times New Roman" w:cs="Times New Roman"/>
          <w:i/>
          <w:iCs/>
        </w:rPr>
      </w:pPr>
      <w:proofErr w:type="spellStart"/>
      <w:r w:rsidRPr="00B25962">
        <w:rPr>
          <w:rFonts w:ascii="Times New Roman" w:hAnsi="Times New Roman" w:cs="Times New Roman"/>
          <w:i/>
          <w:iCs/>
        </w:rPr>
        <w:t>Responsive</w:t>
      </w:r>
      <w:proofErr w:type="spellEnd"/>
      <w:r w:rsidRPr="00B25962">
        <w:rPr>
          <w:rFonts w:ascii="Times New Roman" w:hAnsi="Times New Roman" w:cs="Times New Roman"/>
          <w:i/>
          <w:iCs/>
        </w:rPr>
        <w:t xml:space="preserve"> </w:t>
      </w:r>
      <w:proofErr w:type="spellStart"/>
      <w:r w:rsidRPr="00B25962">
        <w:rPr>
          <w:rFonts w:ascii="Times New Roman" w:hAnsi="Times New Roman" w:cs="Times New Roman"/>
          <w:i/>
          <w:iCs/>
        </w:rPr>
        <w:t>Law</w:t>
      </w:r>
      <w:proofErr w:type="spellEnd"/>
    </w:p>
    <w:p w14:paraId="09E08449" w14:textId="77777777" w:rsidR="002E4DFA" w:rsidRDefault="002E4DFA" w:rsidP="00B25962">
      <w:pPr>
        <w:jc w:val="both"/>
        <w:rPr>
          <w:rFonts w:ascii="Times New Roman" w:hAnsi="Times New Roman" w:cs="Times New Roman"/>
        </w:rPr>
      </w:pPr>
    </w:p>
    <w:p w14:paraId="5F559642" w14:textId="29F07C62" w:rsidR="00F01208" w:rsidRPr="00B25962" w:rsidRDefault="0023790E" w:rsidP="00B25962">
      <w:pPr>
        <w:jc w:val="both"/>
        <w:rPr>
          <w:rFonts w:ascii="Times New Roman" w:hAnsi="Times New Roman" w:cs="Times New Roman"/>
        </w:rPr>
      </w:pPr>
      <w:r w:rsidRPr="00B25962">
        <w:rPr>
          <w:rFonts w:ascii="Times New Roman" w:hAnsi="Times New Roman" w:cs="Times New Roman"/>
        </w:rPr>
        <w:t xml:space="preserve">In het beeld van de responsieve rechtsstaat van Scheltema is </w:t>
      </w:r>
      <w:r w:rsidR="004074C7" w:rsidRPr="00B25962">
        <w:rPr>
          <w:rFonts w:ascii="Times New Roman" w:hAnsi="Times New Roman" w:cs="Times New Roman"/>
        </w:rPr>
        <w:t xml:space="preserve">het concept </w:t>
      </w:r>
      <w:proofErr w:type="spellStart"/>
      <w:r w:rsidRPr="00B25962">
        <w:rPr>
          <w:rFonts w:ascii="Times New Roman" w:hAnsi="Times New Roman" w:cs="Times New Roman"/>
          <w:i/>
          <w:iCs/>
        </w:rPr>
        <w:t>responsive</w:t>
      </w:r>
      <w:proofErr w:type="spellEnd"/>
      <w:r w:rsidRPr="00B25962">
        <w:rPr>
          <w:rFonts w:ascii="Times New Roman" w:hAnsi="Times New Roman" w:cs="Times New Roman"/>
          <w:i/>
          <w:iCs/>
        </w:rPr>
        <w:t xml:space="preserve"> </w:t>
      </w:r>
      <w:proofErr w:type="spellStart"/>
      <w:r w:rsidRPr="00B25962">
        <w:rPr>
          <w:rFonts w:ascii="Times New Roman" w:hAnsi="Times New Roman" w:cs="Times New Roman"/>
          <w:i/>
          <w:iCs/>
        </w:rPr>
        <w:t>law</w:t>
      </w:r>
      <w:proofErr w:type="spellEnd"/>
      <w:r w:rsidRPr="00B25962">
        <w:rPr>
          <w:rFonts w:ascii="Times New Roman" w:hAnsi="Times New Roman" w:cs="Times New Roman"/>
        </w:rPr>
        <w:t xml:space="preserve"> van de Amerikaanse </w:t>
      </w:r>
      <w:r w:rsidR="00862D37" w:rsidRPr="00B25962">
        <w:rPr>
          <w:rFonts w:ascii="Times New Roman" w:hAnsi="Times New Roman" w:cs="Times New Roman"/>
        </w:rPr>
        <w:t>rechtssociologen</w:t>
      </w:r>
      <w:r w:rsidRPr="00B25962">
        <w:rPr>
          <w:rFonts w:ascii="Times New Roman" w:hAnsi="Times New Roman" w:cs="Times New Roman"/>
        </w:rPr>
        <w:t xml:space="preserve"> Nonet en </w:t>
      </w:r>
      <w:proofErr w:type="spellStart"/>
      <w:r w:rsidRPr="00B25962">
        <w:rPr>
          <w:rFonts w:ascii="Times New Roman" w:hAnsi="Times New Roman" w:cs="Times New Roman"/>
        </w:rPr>
        <w:t>Selznick</w:t>
      </w:r>
      <w:proofErr w:type="spellEnd"/>
      <w:r w:rsidRPr="00B25962">
        <w:rPr>
          <w:rFonts w:ascii="Times New Roman" w:hAnsi="Times New Roman" w:cs="Times New Roman"/>
        </w:rPr>
        <w:t xml:space="preserve"> te herkennen.</w:t>
      </w:r>
      <w:r w:rsidR="00862D37" w:rsidRPr="00B25962">
        <w:rPr>
          <w:rStyle w:val="FootnoteReference"/>
          <w:rFonts w:ascii="Times New Roman" w:hAnsi="Times New Roman" w:cs="Times New Roman"/>
        </w:rPr>
        <w:footnoteReference w:id="9"/>
      </w:r>
      <w:r w:rsidRPr="00B25962">
        <w:rPr>
          <w:rFonts w:ascii="Times New Roman" w:hAnsi="Times New Roman" w:cs="Times New Roman"/>
        </w:rPr>
        <w:t xml:space="preserve"> </w:t>
      </w:r>
      <w:r w:rsidR="00862D37" w:rsidRPr="00B25962">
        <w:rPr>
          <w:rFonts w:ascii="Times New Roman" w:hAnsi="Times New Roman" w:cs="Times New Roman"/>
        </w:rPr>
        <w:t>Zij beschouwen het recht als een fenomeen dat een ontwikkelingsproces doormaakt in relatie tot zijn maatschappelijke functie.</w:t>
      </w:r>
      <w:r w:rsidR="00862D37" w:rsidRPr="00B25962">
        <w:rPr>
          <w:rStyle w:val="FootnoteReference"/>
          <w:rFonts w:ascii="Times New Roman" w:hAnsi="Times New Roman" w:cs="Times New Roman"/>
        </w:rPr>
        <w:footnoteReference w:id="10"/>
      </w:r>
      <w:r w:rsidR="00862D37" w:rsidRPr="00B25962">
        <w:rPr>
          <w:rFonts w:ascii="Times New Roman" w:hAnsi="Times New Roman" w:cs="Times New Roman"/>
        </w:rPr>
        <w:t xml:space="preserve"> </w:t>
      </w:r>
      <w:r w:rsidR="005B6203" w:rsidRPr="00B25962">
        <w:rPr>
          <w:rFonts w:ascii="Times New Roman" w:hAnsi="Times New Roman" w:cs="Times New Roman"/>
        </w:rPr>
        <w:t>Z</w:t>
      </w:r>
      <w:r w:rsidR="00862D37" w:rsidRPr="00B25962">
        <w:rPr>
          <w:rFonts w:ascii="Times New Roman" w:hAnsi="Times New Roman" w:cs="Times New Roman"/>
        </w:rPr>
        <w:t xml:space="preserve">o onderscheiden zij drie opeenvolgende functies, meer in het bijzonder ontwikkelingsstadia, van het recht: repressief, autonoom en responsief. </w:t>
      </w:r>
      <w:r w:rsidR="004074C7" w:rsidRPr="00B25962">
        <w:rPr>
          <w:rFonts w:ascii="Times New Roman" w:hAnsi="Times New Roman" w:cs="Times New Roman"/>
        </w:rPr>
        <w:t>In het laatste stadium draagt het recht optimaal bij aan maatschappelijke verandering. Tegelijkertijd waarschuwen zij voor het doorschieten van deze ontwikkeling. Overdreven responsiviteit kan immers weer leiden tot willekeur en het recht van de sterkste.</w:t>
      </w:r>
      <w:r w:rsidR="009B4E64" w:rsidRPr="00B25962">
        <w:rPr>
          <w:rFonts w:ascii="Times New Roman" w:hAnsi="Times New Roman" w:cs="Times New Roman"/>
        </w:rPr>
        <w:t xml:space="preserve"> </w:t>
      </w:r>
    </w:p>
    <w:p w14:paraId="6BB4ADB0" w14:textId="70B1B230" w:rsidR="007D55FA" w:rsidRPr="00B25962" w:rsidRDefault="009B4E64" w:rsidP="00B25962">
      <w:pPr>
        <w:ind w:firstLine="360"/>
        <w:jc w:val="both"/>
        <w:rPr>
          <w:rFonts w:ascii="Times New Roman" w:hAnsi="Times New Roman" w:cs="Times New Roman"/>
        </w:rPr>
      </w:pPr>
      <w:r w:rsidRPr="00B25962">
        <w:rPr>
          <w:rFonts w:ascii="Times New Roman" w:hAnsi="Times New Roman" w:cs="Times New Roman"/>
        </w:rPr>
        <w:t>In de literatuur zijn dan ook de nodige kritische kanttekeningen geplaatst bij het ideaal van de responsieve rechtsstaat.</w:t>
      </w:r>
      <w:r w:rsidR="00646CD9" w:rsidRPr="00B25962">
        <w:rPr>
          <w:rFonts w:ascii="Times New Roman" w:hAnsi="Times New Roman" w:cs="Times New Roman"/>
        </w:rPr>
        <w:t xml:space="preserve"> </w:t>
      </w:r>
      <w:r w:rsidR="001935E4" w:rsidRPr="00B25962">
        <w:rPr>
          <w:rFonts w:ascii="Times New Roman" w:hAnsi="Times New Roman" w:cs="Times New Roman"/>
        </w:rPr>
        <w:t xml:space="preserve">Zo is het maar de vraag om zo’n responsieve praktijk haalbaar is voor uitvoeringsorganisaties, waar grote hoeveelheden zaken moeten worden afgehandeld. In </w:t>
      </w:r>
      <w:r w:rsidR="001935E4" w:rsidRPr="00B25962">
        <w:rPr>
          <w:rFonts w:ascii="Times New Roman" w:hAnsi="Times New Roman" w:cs="Times New Roman"/>
        </w:rPr>
        <w:lastRenderedPageBreak/>
        <w:t>hoeverre is zo’n praktijk wel transparant en controleerbaar?</w:t>
      </w:r>
      <w:r w:rsidR="001935E4" w:rsidRPr="00B25962">
        <w:rPr>
          <w:rStyle w:val="FootnoteReference"/>
          <w:rFonts w:ascii="Times New Roman" w:hAnsi="Times New Roman" w:cs="Times New Roman"/>
        </w:rPr>
        <w:t xml:space="preserve"> </w:t>
      </w:r>
      <w:r w:rsidR="001935E4" w:rsidRPr="00B25962">
        <w:rPr>
          <w:rStyle w:val="FootnoteReference"/>
          <w:rFonts w:ascii="Times New Roman" w:hAnsi="Times New Roman" w:cs="Times New Roman"/>
        </w:rPr>
        <w:footnoteReference w:id="11"/>
      </w:r>
      <w:r w:rsidR="001935E4" w:rsidRPr="00B25962">
        <w:rPr>
          <w:rFonts w:ascii="Times New Roman" w:hAnsi="Times New Roman" w:cs="Times New Roman"/>
        </w:rPr>
        <w:t xml:space="preserve"> En ligt niet het risico op de loer van willekeur en </w:t>
      </w:r>
      <w:r w:rsidR="00F01208" w:rsidRPr="00B25962">
        <w:rPr>
          <w:rFonts w:ascii="Times New Roman" w:hAnsi="Times New Roman" w:cs="Times New Roman"/>
        </w:rPr>
        <w:t xml:space="preserve">het </w:t>
      </w:r>
      <w:r w:rsidR="001935E4" w:rsidRPr="00B25962">
        <w:rPr>
          <w:rFonts w:ascii="Times New Roman" w:hAnsi="Times New Roman" w:cs="Times New Roman"/>
        </w:rPr>
        <w:t>recht van de sterkste?</w:t>
      </w:r>
      <w:r w:rsidR="001935E4" w:rsidRPr="00B25962">
        <w:rPr>
          <w:rStyle w:val="FootnoteReference"/>
          <w:rFonts w:ascii="Times New Roman" w:hAnsi="Times New Roman" w:cs="Times New Roman"/>
        </w:rPr>
        <w:footnoteReference w:id="12"/>
      </w:r>
    </w:p>
    <w:p w14:paraId="08B1AA92" w14:textId="77777777" w:rsidR="00912D06" w:rsidRPr="00B25962" w:rsidRDefault="00912D06" w:rsidP="00B25962">
      <w:pPr>
        <w:jc w:val="both"/>
        <w:rPr>
          <w:rFonts w:ascii="Times New Roman" w:hAnsi="Times New Roman" w:cs="Times New Roman"/>
        </w:rPr>
      </w:pPr>
    </w:p>
    <w:p w14:paraId="6B754576" w14:textId="13433513" w:rsidR="00912D06" w:rsidRPr="00B25962" w:rsidRDefault="00D81802"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Experimenteerdrift</w:t>
      </w:r>
    </w:p>
    <w:p w14:paraId="70114F5E" w14:textId="77777777" w:rsidR="00B25962" w:rsidRDefault="00B25962" w:rsidP="00B25962">
      <w:pPr>
        <w:jc w:val="both"/>
        <w:rPr>
          <w:rFonts w:ascii="Times New Roman" w:hAnsi="Times New Roman" w:cs="Times New Roman"/>
        </w:rPr>
      </w:pPr>
    </w:p>
    <w:p w14:paraId="5251188B" w14:textId="5678B700" w:rsidR="00367706" w:rsidRPr="00B25962" w:rsidRDefault="005122A0" w:rsidP="00B25962">
      <w:pPr>
        <w:jc w:val="both"/>
        <w:rPr>
          <w:rFonts w:ascii="Times New Roman" w:hAnsi="Times New Roman" w:cs="Times New Roman"/>
        </w:rPr>
      </w:pPr>
      <w:r w:rsidRPr="00B25962">
        <w:rPr>
          <w:rFonts w:ascii="Times New Roman" w:hAnsi="Times New Roman" w:cs="Times New Roman"/>
        </w:rPr>
        <w:t xml:space="preserve">In het kader van het </w:t>
      </w:r>
      <w:r w:rsidR="00D06AFB" w:rsidRPr="00B25962">
        <w:rPr>
          <w:rFonts w:ascii="Times New Roman" w:hAnsi="Times New Roman" w:cs="Times New Roman"/>
        </w:rPr>
        <w:t xml:space="preserve">streven naar </w:t>
      </w:r>
      <w:r w:rsidRPr="00B25962">
        <w:rPr>
          <w:rFonts w:ascii="Times New Roman" w:hAnsi="Times New Roman" w:cs="Times New Roman"/>
        </w:rPr>
        <w:t>een responsieve rechts</w:t>
      </w:r>
      <w:r w:rsidR="00D06AFB" w:rsidRPr="00B25962">
        <w:rPr>
          <w:rFonts w:ascii="Times New Roman" w:hAnsi="Times New Roman" w:cs="Times New Roman"/>
        </w:rPr>
        <w:t>staat</w:t>
      </w:r>
      <w:r w:rsidRPr="00B25962">
        <w:rPr>
          <w:rFonts w:ascii="Times New Roman" w:hAnsi="Times New Roman" w:cs="Times New Roman"/>
        </w:rPr>
        <w:t xml:space="preserve"> </w:t>
      </w:r>
      <w:r w:rsidR="00F737CC" w:rsidRPr="00B25962">
        <w:rPr>
          <w:rFonts w:ascii="Times New Roman" w:hAnsi="Times New Roman" w:cs="Times New Roman"/>
        </w:rPr>
        <w:t xml:space="preserve">is en </w:t>
      </w:r>
      <w:r w:rsidRPr="00B25962">
        <w:rPr>
          <w:rFonts w:ascii="Times New Roman" w:hAnsi="Times New Roman" w:cs="Times New Roman"/>
        </w:rPr>
        <w:t>wordt</w:t>
      </w:r>
      <w:r w:rsidR="00F737CC" w:rsidRPr="00B25962">
        <w:rPr>
          <w:rFonts w:ascii="Times New Roman" w:hAnsi="Times New Roman" w:cs="Times New Roman"/>
        </w:rPr>
        <w:t xml:space="preserve"> </w:t>
      </w:r>
      <w:r w:rsidRPr="00B25962">
        <w:rPr>
          <w:rFonts w:ascii="Times New Roman" w:hAnsi="Times New Roman" w:cs="Times New Roman"/>
        </w:rPr>
        <w:t xml:space="preserve">op tal van plaatsen </w:t>
      </w:r>
      <w:r w:rsidR="005C1DBE" w:rsidRPr="00B25962">
        <w:rPr>
          <w:rFonts w:ascii="Times New Roman" w:hAnsi="Times New Roman" w:cs="Times New Roman"/>
        </w:rPr>
        <w:t xml:space="preserve">driftig </w:t>
      </w:r>
      <w:r w:rsidR="00816ACB" w:rsidRPr="00B25962">
        <w:rPr>
          <w:rFonts w:ascii="Times New Roman" w:hAnsi="Times New Roman" w:cs="Times New Roman"/>
        </w:rPr>
        <w:t xml:space="preserve">geëxperimenteerd om </w:t>
      </w:r>
      <w:r w:rsidR="00367706" w:rsidRPr="00B25962">
        <w:rPr>
          <w:rFonts w:ascii="Times New Roman" w:hAnsi="Times New Roman" w:cs="Times New Roman"/>
        </w:rPr>
        <w:t>het probleemoplossend vermogen van de rechtspleging te vergrote</w:t>
      </w:r>
      <w:r w:rsidR="00816ACB" w:rsidRPr="00B25962">
        <w:rPr>
          <w:rFonts w:ascii="Times New Roman" w:hAnsi="Times New Roman" w:cs="Times New Roman"/>
        </w:rPr>
        <w:t xml:space="preserve">n. </w:t>
      </w:r>
      <w:r w:rsidR="00367706" w:rsidRPr="00B25962">
        <w:rPr>
          <w:rFonts w:ascii="Times New Roman" w:hAnsi="Times New Roman" w:cs="Times New Roman"/>
        </w:rPr>
        <w:t xml:space="preserve">Voorbeelden hiervan zijn </w:t>
      </w:r>
      <w:r w:rsidR="00816ACB" w:rsidRPr="00B25962">
        <w:rPr>
          <w:rFonts w:ascii="Times New Roman" w:hAnsi="Times New Roman" w:cs="Times New Roman"/>
        </w:rPr>
        <w:t xml:space="preserve">het </w:t>
      </w:r>
      <w:r w:rsidR="00367706" w:rsidRPr="00B25962">
        <w:rPr>
          <w:rFonts w:ascii="Times New Roman" w:hAnsi="Times New Roman" w:cs="Times New Roman"/>
        </w:rPr>
        <w:t xml:space="preserve">project </w:t>
      </w:r>
      <w:r w:rsidR="00816ACB" w:rsidRPr="00B25962">
        <w:rPr>
          <w:rFonts w:ascii="Times New Roman" w:hAnsi="Times New Roman" w:cs="Times New Roman"/>
        </w:rPr>
        <w:t>‘Prettig contact met de overheid’, dat een meer oplossingsgerichte en burgervriendelijke werkwijze bij de behandeling van bezwaarschriften door overheidsorganisaties propageert.</w:t>
      </w:r>
      <w:r w:rsidR="00367706" w:rsidRPr="00B25962">
        <w:rPr>
          <w:rStyle w:val="FootnoteReference"/>
          <w:rFonts w:ascii="Times New Roman" w:hAnsi="Times New Roman" w:cs="Times New Roman"/>
        </w:rPr>
        <w:footnoteReference w:id="13"/>
      </w:r>
      <w:r w:rsidR="00816ACB" w:rsidRPr="00B25962">
        <w:rPr>
          <w:rFonts w:ascii="Times New Roman" w:hAnsi="Times New Roman" w:cs="Times New Roman"/>
        </w:rPr>
        <w:t xml:space="preserve"> </w:t>
      </w:r>
      <w:r w:rsidR="0055109B" w:rsidRPr="00B25962">
        <w:rPr>
          <w:rFonts w:ascii="Times New Roman" w:hAnsi="Times New Roman" w:cs="Times New Roman"/>
        </w:rPr>
        <w:t xml:space="preserve">In het verlengde hiervan ligt de ‘Nieuwe </w:t>
      </w:r>
      <w:proofErr w:type="spellStart"/>
      <w:r w:rsidR="0055109B" w:rsidRPr="00B25962">
        <w:rPr>
          <w:rFonts w:ascii="Times New Roman" w:hAnsi="Times New Roman" w:cs="Times New Roman"/>
        </w:rPr>
        <w:t>zaaksbehandeling</w:t>
      </w:r>
      <w:proofErr w:type="spellEnd"/>
      <w:r w:rsidR="0055109B" w:rsidRPr="00B25962">
        <w:rPr>
          <w:rFonts w:ascii="Times New Roman" w:hAnsi="Times New Roman" w:cs="Times New Roman"/>
        </w:rPr>
        <w:t>’ door de bestuursrechter, gericht op duurzame geschilbeslechting.</w:t>
      </w:r>
      <w:r w:rsidR="0055109B" w:rsidRPr="00B25962">
        <w:rPr>
          <w:rStyle w:val="FootnoteReference"/>
          <w:rFonts w:ascii="Times New Roman" w:hAnsi="Times New Roman" w:cs="Times New Roman"/>
        </w:rPr>
        <w:footnoteReference w:id="14"/>
      </w:r>
      <w:r w:rsidR="0055109B" w:rsidRPr="00B25962">
        <w:rPr>
          <w:rFonts w:ascii="Times New Roman" w:hAnsi="Times New Roman" w:cs="Times New Roman"/>
        </w:rPr>
        <w:t xml:space="preserve"> Verder zijn er</w:t>
      </w:r>
      <w:r w:rsidR="00816ACB" w:rsidRPr="00B25962">
        <w:rPr>
          <w:rFonts w:ascii="Times New Roman" w:hAnsi="Times New Roman" w:cs="Times New Roman"/>
        </w:rPr>
        <w:t xml:space="preserve"> talrijke </w:t>
      </w:r>
      <w:r w:rsidRPr="00B25962">
        <w:rPr>
          <w:rFonts w:ascii="Times New Roman" w:eastAsia="Times New Roman" w:hAnsi="Times New Roman" w:cs="Times New Roman"/>
        </w:rPr>
        <w:t>experimenten met wijk- en buurtrechtspraak in het kader van het programma ‘Maatschappelijk effectieve rechtspraak’ van de Rechtspraak.</w:t>
      </w:r>
      <w:r w:rsidRPr="00B25962">
        <w:rPr>
          <w:rStyle w:val="FootnoteReference"/>
          <w:rFonts w:ascii="Times New Roman" w:eastAsia="Times New Roman" w:hAnsi="Times New Roman" w:cs="Times New Roman"/>
        </w:rPr>
        <w:footnoteReference w:id="15"/>
      </w:r>
      <w:r w:rsidRPr="00B25962">
        <w:rPr>
          <w:rFonts w:ascii="Times New Roman" w:eastAsia="Times New Roman" w:hAnsi="Times New Roman" w:cs="Times New Roman"/>
        </w:rPr>
        <w:t xml:space="preserve"> </w:t>
      </w:r>
      <w:r w:rsidR="00380B46" w:rsidRPr="00B25962">
        <w:rPr>
          <w:rFonts w:ascii="Times New Roman" w:eastAsia="Times New Roman" w:hAnsi="Times New Roman" w:cs="Times New Roman"/>
        </w:rPr>
        <w:t xml:space="preserve">Ook </w:t>
      </w:r>
      <w:r w:rsidR="0055109B" w:rsidRPr="00B25962">
        <w:rPr>
          <w:rFonts w:ascii="Times New Roman" w:eastAsia="Times New Roman" w:hAnsi="Times New Roman" w:cs="Times New Roman"/>
        </w:rPr>
        <w:t xml:space="preserve">wordt geëxperimenteerd met </w:t>
      </w:r>
      <w:proofErr w:type="spellStart"/>
      <w:r w:rsidR="0055109B" w:rsidRPr="00B25962">
        <w:rPr>
          <w:rFonts w:ascii="Times New Roman" w:eastAsia="Times New Roman" w:hAnsi="Times New Roman" w:cs="Times New Roman"/>
          <w:i/>
          <w:iCs/>
        </w:rPr>
        <w:t>mediation</w:t>
      </w:r>
      <w:proofErr w:type="spellEnd"/>
      <w:r w:rsidR="0055109B" w:rsidRPr="00B25962">
        <w:rPr>
          <w:rFonts w:ascii="Times New Roman" w:eastAsia="Times New Roman" w:hAnsi="Times New Roman" w:cs="Times New Roman"/>
        </w:rPr>
        <w:t xml:space="preserve"> in de strafrechtspleging.</w:t>
      </w:r>
      <w:r w:rsidR="0055109B" w:rsidRPr="00B25962">
        <w:rPr>
          <w:rStyle w:val="FootnoteReference"/>
          <w:rFonts w:ascii="Times New Roman" w:eastAsia="Times New Roman" w:hAnsi="Times New Roman" w:cs="Times New Roman"/>
        </w:rPr>
        <w:footnoteReference w:id="16"/>
      </w:r>
      <w:r w:rsidR="0055109B" w:rsidRPr="00B25962">
        <w:rPr>
          <w:rFonts w:ascii="Times New Roman" w:eastAsia="Times New Roman" w:hAnsi="Times New Roman" w:cs="Times New Roman"/>
        </w:rPr>
        <w:t xml:space="preserve"> </w:t>
      </w:r>
      <w:r w:rsidR="00C728BE" w:rsidRPr="00B25962">
        <w:rPr>
          <w:rFonts w:ascii="Times New Roman" w:hAnsi="Times New Roman" w:cs="Times New Roman"/>
        </w:rPr>
        <w:t>Overigens is d</w:t>
      </w:r>
      <w:r w:rsidR="00367706" w:rsidRPr="00B25962">
        <w:rPr>
          <w:rFonts w:ascii="Times New Roman" w:hAnsi="Times New Roman" w:cs="Times New Roman"/>
        </w:rPr>
        <w:t xml:space="preserve">eze ontwikkeling niet uniek voor ons land. Zo signaleert Akkermans </w:t>
      </w:r>
      <w:r w:rsidR="00780090" w:rsidRPr="00B25962">
        <w:rPr>
          <w:rFonts w:ascii="Times New Roman" w:hAnsi="Times New Roman" w:cs="Times New Roman"/>
        </w:rPr>
        <w:t>een internationale trend naar meeromvattende conflictoplossing in plaats van juridisch-technische geschilbeslechting.</w:t>
      </w:r>
      <w:r w:rsidR="00780090" w:rsidRPr="00B25962">
        <w:rPr>
          <w:rStyle w:val="FootnoteReference"/>
          <w:rFonts w:ascii="Times New Roman" w:hAnsi="Times New Roman" w:cs="Times New Roman"/>
        </w:rPr>
        <w:footnoteReference w:id="17"/>
      </w:r>
    </w:p>
    <w:p w14:paraId="23825317" w14:textId="77777777" w:rsidR="005122A0" w:rsidRPr="00B25962" w:rsidRDefault="005122A0" w:rsidP="00B25962">
      <w:pPr>
        <w:jc w:val="both"/>
        <w:rPr>
          <w:rFonts w:ascii="Times New Roman" w:hAnsi="Times New Roman" w:cs="Times New Roman"/>
        </w:rPr>
      </w:pPr>
    </w:p>
    <w:p w14:paraId="29E39949" w14:textId="3B547274" w:rsidR="005C1DBE" w:rsidRPr="00B25962" w:rsidRDefault="009A30B4" w:rsidP="00B25962">
      <w:pPr>
        <w:pStyle w:val="ListParagraph"/>
        <w:numPr>
          <w:ilvl w:val="0"/>
          <w:numId w:val="1"/>
        </w:numPr>
        <w:ind w:left="357" w:hanging="357"/>
        <w:jc w:val="both"/>
        <w:rPr>
          <w:rFonts w:ascii="Times New Roman" w:hAnsi="Times New Roman" w:cs="Times New Roman"/>
          <w:b/>
          <w:bCs/>
          <w:color w:val="000000" w:themeColor="text1"/>
        </w:rPr>
      </w:pPr>
      <w:r w:rsidRPr="00B25962">
        <w:rPr>
          <w:rFonts w:ascii="Times New Roman" w:hAnsi="Times New Roman" w:cs="Times New Roman"/>
          <w:b/>
          <w:bCs/>
          <w:color w:val="000000" w:themeColor="text1"/>
        </w:rPr>
        <w:t>De m</w:t>
      </w:r>
      <w:r w:rsidR="00297BFE" w:rsidRPr="00B25962">
        <w:rPr>
          <w:rFonts w:ascii="Times New Roman" w:hAnsi="Times New Roman" w:cs="Times New Roman"/>
          <w:b/>
          <w:bCs/>
          <w:color w:val="000000" w:themeColor="text1"/>
        </w:rPr>
        <w:t>aatschappelijke context</w:t>
      </w:r>
      <w:r w:rsidR="003C4FD6" w:rsidRPr="00B25962">
        <w:rPr>
          <w:rFonts w:ascii="Times New Roman" w:hAnsi="Times New Roman" w:cs="Times New Roman"/>
          <w:b/>
          <w:bCs/>
          <w:color w:val="000000" w:themeColor="text1"/>
        </w:rPr>
        <w:t xml:space="preserve"> </w:t>
      </w:r>
    </w:p>
    <w:p w14:paraId="60104046" w14:textId="77777777" w:rsidR="005122A0" w:rsidRPr="00B25962" w:rsidRDefault="005122A0" w:rsidP="00B25962">
      <w:pPr>
        <w:jc w:val="both"/>
        <w:rPr>
          <w:rFonts w:ascii="Times New Roman" w:hAnsi="Times New Roman" w:cs="Times New Roman"/>
        </w:rPr>
      </w:pPr>
    </w:p>
    <w:p w14:paraId="1795A266" w14:textId="04BA3807" w:rsidR="005637F8" w:rsidRPr="00B25962" w:rsidRDefault="005637F8"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Onvrede over kwaliteit overheidsdienstverlening en rechtspleging</w:t>
      </w:r>
    </w:p>
    <w:p w14:paraId="2C67B2BE" w14:textId="77777777" w:rsidR="00B25962" w:rsidRDefault="00B25962" w:rsidP="00B25962">
      <w:pPr>
        <w:jc w:val="both"/>
        <w:rPr>
          <w:rFonts w:ascii="Times New Roman" w:hAnsi="Times New Roman" w:cs="Times New Roman"/>
        </w:rPr>
      </w:pPr>
    </w:p>
    <w:p w14:paraId="526CAC0F" w14:textId="631EB737" w:rsidR="00475677" w:rsidRPr="00B25962" w:rsidRDefault="00475677" w:rsidP="00B25962">
      <w:pPr>
        <w:jc w:val="both"/>
        <w:rPr>
          <w:rFonts w:ascii="Times New Roman" w:hAnsi="Times New Roman" w:cs="Times New Roman"/>
        </w:rPr>
      </w:pPr>
      <w:r w:rsidRPr="00B25962">
        <w:rPr>
          <w:rFonts w:ascii="Times New Roman" w:hAnsi="Times New Roman" w:cs="Times New Roman"/>
        </w:rPr>
        <w:t xml:space="preserve">Het streven naar responsiviteit kan worden gezien tegen de achtergrond van een groeiende onvrede over het functioneren van de overheid. </w:t>
      </w:r>
      <w:r w:rsidRPr="00B25962">
        <w:rPr>
          <w:rFonts w:ascii="Times New Roman" w:hAnsi="Times New Roman" w:cs="Times New Roman"/>
          <w:color w:val="000000" w:themeColor="text1"/>
        </w:rPr>
        <w:t>Meer in het bijzonder de kwaliteit van de dienstverlening van grote uitvoeringsorganisaties (als de Belastingdienst/Toeslagen, UVW, de SVB en het CAK) en gemeenten. Uit onderzoek kwam naar voren dat de in hoge mate gestandaardiseerde en gedigitaliseerde besluitvorming waarop deze organisaties leunen, onvoldoende ruimte biedt om rekening te houden met de menselijke maat op basis van persoonlijk contact.</w:t>
      </w:r>
      <w:r w:rsidRPr="00B25962">
        <w:rPr>
          <w:rStyle w:val="FootnoteReference"/>
          <w:rFonts w:ascii="Times New Roman" w:hAnsi="Times New Roman" w:cs="Times New Roman"/>
          <w:color w:val="000000" w:themeColor="text1"/>
        </w:rPr>
        <w:footnoteReference w:id="18"/>
      </w:r>
      <w:r w:rsidRPr="00B25962">
        <w:rPr>
          <w:rFonts w:ascii="Times New Roman" w:hAnsi="Times New Roman" w:cs="Times New Roman"/>
          <w:color w:val="000000" w:themeColor="text1"/>
        </w:rPr>
        <w:t xml:space="preserve"> </w:t>
      </w:r>
    </w:p>
    <w:p w14:paraId="597E4353" w14:textId="3BB08F94" w:rsidR="00475677" w:rsidRPr="00B25962" w:rsidRDefault="00475677" w:rsidP="00B25962">
      <w:pPr>
        <w:ind w:firstLine="360"/>
        <w:jc w:val="both"/>
        <w:rPr>
          <w:rFonts w:ascii="Times New Roman" w:hAnsi="Times New Roman" w:cs="Times New Roman"/>
          <w:i/>
          <w:iCs/>
          <w:color w:val="FF0000"/>
        </w:rPr>
      </w:pPr>
      <w:r w:rsidRPr="00B25962">
        <w:rPr>
          <w:rFonts w:ascii="Times New Roman" w:hAnsi="Times New Roman" w:cs="Times New Roman"/>
        </w:rPr>
        <w:t xml:space="preserve">Ook </w:t>
      </w:r>
      <w:r w:rsidRPr="00B25962">
        <w:rPr>
          <w:rFonts w:ascii="Times New Roman" w:eastAsia="Times New Roman" w:hAnsi="Times New Roman" w:cs="Times New Roman"/>
        </w:rPr>
        <w:t xml:space="preserve">binnen de rechtswetenschap speelde al </w:t>
      </w:r>
      <w:r w:rsidR="009220AE" w:rsidRPr="00B25962">
        <w:rPr>
          <w:rFonts w:ascii="Times New Roman" w:eastAsia="Times New Roman" w:hAnsi="Times New Roman" w:cs="Times New Roman"/>
        </w:rPr>
        <w:t xml:space="preserve">geruime tijd </w:t>
      </w:r>
      <w:r w:rsidRPr="00B25962">
        <w:rPr>
          <w:rFonts w:ascii="Times New Roman" w:eastAsia="Times New Roman" w:hAnsi="Times New Roman" w:cs="Times New Roman"/>
        </w:rPr>
        <w:t>onvrede over</w:t>
      </w:r>
      <w:r w:rsidR="009220AE" w:rsidRPr="00B25962">
        <w:rPr>
          <w:rFonts w:ascii="Times New Roman" w:eastAsia="Times New Roman" w:hAnsi="Times New Roman" w:cs="Times New Roman"/>
        </w:rPr>
        <w:t xml:space="preserve"> </w:t>
      </w:r>
      <w:r w:rsidRPr="00B25962">
        <w:rPr>
          <w:rFonts w:ascii="Times New Roman" w:hAnsi="Times New Roman" w:cs="Times New Roman"/>
          <w:color w:val="000000" w:themeColor="text1"/>
        </w:rPr>
        <w:t>de rechtspleging. Die zou onvoldoende mens- en oplossingsgericht zijn.</w:t>
      </w:r>
      <w:r w:rsidRPr="00B25962">
        <w:rPr>
          <w:rStyle w:val="FootnoteReference"/>
          <w:rFonts w:ascii="Times New Roman" w:hAnsi="Times New Roman" w:cs="Times New Roman"/>
          <w:color w:val="000000" w:themeColor="text1"/>
        </w:rPr>
        <w:footnoteReference w:id="19"/>
      </w:r>
      <w:r w:rsidRPr="00B25962">
        <w:rPr>
          <w:rFonts w:ascii="Times New Roman" w:hAnsi="Times New Roman" w:cs="Times New Roman"/>
          <w:color w:val="000000" w:themeColor="text1"/>
        </w:rPr>
        <w:t xml:space="preserve"> Rechtszoekenden zouden te lang blijven rondlopen met onopgeloste juridische problemen, met alle financiële en mentale gevolgen van dien.</w:t>
      </w:r>
    </w:p>
    <w:p w14:paraId="5BE9B72B" w14:textId="77777777" w:rsidR="00475677" w:rsidRDefault="00475677" w:rsidP="00B25962">
      <w:pPr>
        <w:jc w:val="both"/>
        <w:rPr>
          <w:rFonts w:ascii="Times New Roman" w:hAnsi="Times New Roman" w:cs="Times New Roman"/>
          <w:color w:val="FF0000"/>
        </w:rPr>
      </w:pPr>
    </w:p>
    <w:p w14:paraId="528A6B53" w14:textId="77777777" w:rsidR="002E4DFA" w:rsidRPr="00B25962" w:rsidRDefault="002E4DFA" w:rsidP="00B25962">
      <w:pPr>
        <w:jc w:val="both"/>
        <w:rPr>
          <w:rFonts w:ascii="Times New Roman" w:hAnsi="Times New Roman" w:cs="Times New Roman"/>
          <w:color w:val="FF0000"/>
        </w:rPr>
      </w:pPr>
    </w:p>
    <w:p w14:paraId="4F5385DC" w14:textId="1A4DA38B" w:rsidR="005637F8" w:rsidRPr="00B25962" w:rsidRDefault="005637F8" w:rsidP="00BE7FBD">
      <w:pPr>
        <w:pStyle w:val="ListParagraph"/>
        <w:numPr>
          <w:ilvl w:val="1"/>
          <w:numId w:val="1"/>
        </w:numPr>
        <w:ind w:left="357" w:hanging="357"/>
        <w:jc w:val="both"/>
        <w:rPr>
          <w:rFonts w:ascii="Times New Roman" w:eastAsia="Times New Roman" w:hAnsi="Times New Roman" w:cs="Times New Roman"/>
          <w:i/>
          <w:iCs/>
          <w:color w:val="000000" w:themeColor="text1"/>
        </w:rPr>
      </w:pPr>
      <w:r w:rsidRPr="00B25962">
        <w:rPr>
          <w:rFonts w:ascii="Times New Roman" w:eastAsia="Times New Roman" w:hAnsi="Times New Roman" w:cs="Times New Roman"/>
          <w:i/>
          <w:iCs/>
          <w:color w:val="000000" w:themeColor="text1"/>
        </w:rPr>
        <w:lastRenderedPageBreak/>
        <w:t>Nasleep kinderopvangtoeslagaffaire</w:t>
      </w:r>
    </w:p>
    <w:p w14:paraId="43D69F83" w14:textId="77777777" w:rsidR="002E4DFA" w:rsidRDefault="002E4DFA" w:rsidP="00B25962">
      <w:pPr>
        <w:jc w:val="both"/>
        <w:rPr>
          <w:rFonts w:ascii="Times New Roman" w:eastAsia="Times New Roman" w:hAnsi="Times New Roman" w:cs="Times New Roman"/>
          <w:color w:val="000000" w:themeColor="text1"/>
        </w:rPr>
      </w:pPr>
    </w:p>
    <w:p w14:paraId="55EA28C6" w14:textId="6F845C52" w:rsidR="00CF1CB2" w:rsidRPr="00B25962" w:rsidRDefault="00297BFE" w:rsidP="00B25962">
      <w:pPr>
        <w:jc w:val="both"/>
        <w:rPr>
          <w:rFonts w:ascii="Times New Roman" w:eastAsia="Times New Roman" w:hAnsi="Times New Roman" w:cs="Times New Roman"/>
          <w:color w:val="000000" w:themeColor="text1"/>
        </w:rPr>
      </w:pPr>
      <w:r w:rsidRPr="00B25962">
        <w:rPr>
          <w:rFonts w:ascii="Times New Roman" w:eastAsia="Times New Roman" w:hAnsi="Times New Roman" w:cs="Times New Roman"/>
          <w:color w:val="000000" w:themeColor="text1"/>
        </w:rPr>
        <w:t>Deze onvrede werd op scherp gesteld door de schrijnende situatie die werd blootgelegd als gevolg van de kinderopvangtoeslagaffaire</w:t>
      </w:r>
      <w:r w:rsidR="009220AE" w:rsidRPr="00B25962">
        <w:rPr>
          <w:rFonts w:ascii="Times New Roman" w:eastAsia="Times New Roman" w:hAnsi="Times New Roman" w:cs="Times New Roman"/>
          <w:color w:val="000000" w:themeColor="text1"/>
        </w:rPr>
        <w:t xml:space="preserve"> </w:t>
      </w:r>
      <w:r w:rsidR="009A30B4" w:rsidRPr="00B25962">
        <w:rPr>
          <w:rFonts w:ascii="Times New Roman" w:eastAsia="Times New Roman" w:hAnsi="Times New Roman" w:cs="Times New Roman"/>
          <w:color w:val="000000" w:themeColor="text1"/>
        </w:rPr>
        <w:t>(</w:t>
      </w:r>
      <w:r w:rsidR="009220AE" w:rsidRPr="00B25962">
        <w:rPr>
          <w:rFonts w:ascii="Times New Roman" w:eastAsia="Times New Roman" w:hAnsi="Times New Roman" w:cs="Times New Roman"/>
          <w:color w:val="000000" w:themeColor="text1"/>
        </w:rPr>
        <w:t xml:space="preserve">en </w:t>
      </w:r>
      <w:r w:rsidR="009A30B4" w:rsidRPr="00B25962">
        <w:rPr>
          <w:rFonts w:ascii="Times New Roman" w:eastAsia="Times New Roman" w:hAnsi="Times New Roman" w:cs="Times New Roman"/>
          <w:color w:val="000000" w:themeColor="text1"/>
        </w:rPr>
        <w:t xml:space="preserve">de gang van zaken rond </w:t>
      </w:r>
      <w:r w:rsidR="009220AE" w:rsidRPr="00B25962">
        <w:rPr>
          <w:rFonts w:ascii="Times New Roman" w:eastAsia="Times New Roman" w:hAnsi="Times New Roman" w:cs="Times New Roman"/>
          <w:color w:val="000000" w:themeColor="text1"/>
        </w:rPr>
        <w:t>de aardgaswinning in Groningen</w:t>
      </w:r>
      <w:r w:rsidR="009A30B4" w:rsidRPr="00B25962">
        <w:rPr>
          <w:rFonts w:ascii="Times New Roman" w:eastAsia="Times New Roman" w:hAnsi="Times New Roman" w:cs="Times New Roman"/>
          <w:color w:val="000000" w:themeColor="text1"/>
        </w:rPr>
        <w:t>)</w:t>
      </w:r>
      <w:r w:rsidRPr="00B25962">
        <w:rPr>
          <w:rFonts w:ascii="Times New Roman" w:eastAsia="Times New Roman" w:hAnsi="Times New Roman" w:cs="Times New Roman"/>
          <w:color w:val="000000" w:themeColor="text1"/>
        </w:rPr>
        <w:t>. Nooit meer zouden burgers zo mogen worden vermalen in de overheidsbureaucratie. Er moest dan ook meer ruimte komen voor de menselijke maat, in regelgeving en de uitvoeringspraktijk.</w:t>
      </w:r>
      <w:r w:rsidRPr="00B25962">
        <w:rPr>
          <w:rStyle w:val="FootnoteReference"/>
          <w:rFonts w:ascii="Times New Roman" w:eastAsia="Times New Roman" w:hAnsi="Times New Roman" w:cs="Times New Roman"/>
          <w:color w:val="000000" w:themeColor="text1"/>
        </w:rPr>
        <w:footnoteReference w:id="20"/>
      </w:r>
      <w:r w:rsidR="00CF1CB2" w:rsidRPr="00B25962">
        <w:rPr>
          <w:rFonts w:ascii="Times New Roman" w:eastAsia="Times New Roman" w:hAnsi="Times New Roman" w:cs="Times New Roman"/>
          <w:color w:val="000000" w:themeColor="text1"/>
        </w:rPr>
        <w:t xml:space="preserve"> </w:t>
      </w:r>
    </w:p>
    <w:p w14:paraId="2023CAAA" w14:textId="5EBE63C3" w:rsidR="00EF466D" w:rsidRPr="00B25962" w:rsidRDefault="002E4DFA" w:rsidP="00B2596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CF1CB2" w:rsidRPr="00B25962">
        <w:rPr>
          <w:rFonts w:ascii="Times New Roman" w:eastAsia="Times New Roman" w:hAnsi="Times New Roman" w:cs="Times New Roman"/>
          <w:color w:val="000000" w:themeColor="text1"/>
        </w:rPr>
        <w:t xml:space="preserve">Dit voornemen heeft onder meer geleid tot een uitgebreid wetgevingsprogramma. </w:t>
      </w:r>
      <w:r w:rsidR="003468A3" w:rsidRPr="00B25962">
        <w:rPr>
          <w:rFonts w:ascii="Times New Roman" w:eastAsia="Times New Roman" w:hAnsi="Times New Roman" w:cs="Times New Roman"/>
          <w:color w:val="000000" w:themeColor="text1"/>
        </w:rPr>
        <w:t>Onderdeel hiervan</w:t>
      </w:r>
      <w:r w:rsidR="00CF1CB2" w:rsidRPr="00B25962">
        <w:rPr>
          <w:rFonts w:ascii="Times New Roman" w:eastAsia="Times New Roman" w:hAnsi="Times New Roman" w:cs="Times New Roman"/>
          <w:color w:val="000000" w:themeColor="text1"/>
        </w:rPr>
        <w:t xml:space="preserve"> is het voornemen</w:t>
      </w:r>
      <w:r w:rsidR="003468A3" w:rsidRPr="00B25962">
        <w:rPr>
          <w:rFonts w:ascii="Times New Roman" w:eastAsia="Times New Roman" w:hAnsi="Times New Roman" w:cs="Times New Roman"/>
          <w:color w:val="000000" w:themeColor="text1"/>
        </w:rPr>
        <w:t xml:space="preserve"> </w:t>
      </w:r>
      <w:r w:rsidR="00CF1CB2" w:rsidRPr="00B25962">
        <w:rPr>
          <w:rFonts w:ascii="Times New Roman" w:eastAsia="Times New Roman" w:hAnsi="Times New Roman" w:cs="Times New Roman"/>
          <w:color w:val="000000" w:themeColor="text1"/>
        </w:rPr>
        <w:t xml:space="preserve">de waarborgfunctie van de </w:t>
      </w:r>
      <w:proofErr w:type="spellStart"/>
      <w:r>
        <w:rPr>
          <w:rFonts w:ascii="Times New Roman" w:eastAsia="Times New Roman" w:hAnsi="Times New Roman" w:cs="Times New Roman"/>
          <w:color w:val="000000" w:themeColor="text1"/>
        </w:rPr>
        <w:t>Awb</w:t>
      </w:r>
      <w:proofErr w:type="spellEnd"/>
      <w:r w:rsidR="00CF1CB2" w:rsidRPr="00B25962">
        <w:rPr>
          <w:rFonts w:ascii="Times New Roman" w:eastAsia="Times New Roman" w:hAnsi="Times New Roman" w:cs="Times New Roman"/>
          <w:color w:val="000000" w:themeColor="text1"/>
        </w:rPr>
        <w:t xml:space="preserve"> te versterken.</w:t>
      </w:r>
      <w:r w:rsidR="00550B41" w:rsidRPr="00B25962">
        <w:rPr>
          <w:rStyle w:val="FootnoteReference"/>
          <w:rFonts w:ascii="Times New Roman" w:eastAsia="Times New Roman" w:hAnsi="Times New Roman" w:cs="Times New Roman"/>
          <w:color w:val="000000" w:themeColor="text1"/>
        </w:rPr>
        <w:footnoteReference w:id="21"/>
      </w:r>
      <w:r w:rsidR="00550B41" w:rsidRPr="00B25962">
        <w:rPr>
          <w:rFonts w:ascii="Times New Roman" w:eastAsia="Times New Roman" w:hAnsi="Times New Roman" w:cs="Times New Roman"/>
          <w:color w:val="000000" w:themeColor="text1"/>
        </w:rPr>
        <w:t xml:space="preserve"> </w:t>
      </w:r>
      <w:r w:rsidR="00CF1CB2" w:rsidRPr="00B25962">
        <w:rPr>
          <w:rFonts w:ascii="Times New Roman" w:eastAsia="Times New Roman" w:hAnsi="Times New Roman" w:cs="Times New Roman"/>
          <w:color w:val="000000" w:themeColor="text1"/>
        </w:rPr>
        <w:t xml:space="preserve">Het daartoe strekkende wetsvoorstel, dat </w:t>
      </w:r>
      <w:r w:rsidR="00C30A98" w:rsidRPr="00B25962">
        <w:rPr>
          <w:rFonts w:ascii="Times New Roman" w:eastAsia="Times New Roman" w:hAnsi="Times New Roman" w:cs="Times New Roman"/>
          <w:color w:val="000000" w:themeColor="text1"/>
        </w:rPr>
        <w:t xml:space="preserve">begin 2023 </w:t>
      </w:r>
      <w:r w:rsidR="00CF1CB2" w:rsidRPr="00B25962">
        <w:rPr>
          <w:rFonts w:ascii="Times New Roman" w:eastAsia="Times New Roman" w:hAnsi="Times New Roman" w:cs="Times New Roman"/>
          <w:color w:val="000000" w:themeColor="text1"/>
        </w:rPr>
        <w:t xml:space="preserve">in preconsulatie is gegaan, beoogt de menselijke maat in het </w:t>
      </w:r>
      <w:proofErr w:type="spellStart"/>
      <w:r w:rsidR="00CF1CB2" w:rsidRPr="00B25962">
        <w:rPr>
          <w:rFonts w:ascii="Times New Roman" w:eastAsia="Times New Roman" w:hAnsi="Times New Roman" w:cs="Times New Roman"/>
          <w:color w:val="000000" w:themeColor="text1"/>
        </w:rPr>
        <w:t>bestuur</w:t>
      </w:r>
      <w:r w:rsidR="009A30B4" w:rsidRPr="00B25962">
        <w:rPr>
          <w:rFonts w:ascii="Times New Roman" w:eastAsia="Times New Roman" w:hAnsi="Times New Roman" w:cs="Times New Roman"/>
          <w:color w:val="000000" w:themeColor="text1"/>
        </w:rPr>
        <w:t>s</w:t>
      </w:r>
      <w:proofErr w:type="spellEnd"/>
      <w:r w:rsidR="00CF1CB2" w:rsidRPr="00B25962">
        <w:rPr>
          <w:rFonts w:ascii="Times New Roman" w:eastAsia="Times New Roman" w:hAnsi="Times New Roman" w:cs="Times New Roman"/>
          <w:color w:val="000000" w:themeColor="text1"/>
        </w:rPr>
        <w:t>(proces)recht te vergroten en de overheid meer responsief te maken, aldus de toelichting op het wetsvoorstel.</w:t>
      </w:r>
      <w:r w:rsidR="003468A3" w:rsidRPr="00B25962">
        <w:rPr>
          <w:rStyle w:val="FootnoteReference"/>
          <w:rFonts w:ascii="Times New Roman" w:eastAsia="Times New Roman" w:hAnsi="Times New Roman" w:cs="Times New Roman"/>
          <w:color w:val="000000" w:themeColor="text1"/>
        </w:rPr>
        <w:footnoteReference w:id="22"/>
      </w:r>
      <w:r w:rsidR="00CF1CB2" w:rsidRPr="00B25962">
        <w:rPr>
          <w:rFonts w:ascii="Times New Roman" w:eastAsia="Times New Roman" w:hAnsi="Times New Roman" w:cs="Times New Roman"/>
          <w:color w:val="000000" w:themeColor="text1"/>
        </w:rPr>
        <w:t xml:space="preserve"> </w:t>
      </w:r>
    </w:p>
    <w:p w14:paraId="2242EB76" w14:textId="13F80884" w:rsidR="00ED4E1C" w:rsidRPr="00B25962" w:rsidRDefault="00296922" w:rsidP="00B25962">
      <w:pPr>
        <w:ind w:firstLine="708"/>
        <w:jc w:val="both"/>
        <w:rPr>
          <w:rFonts w:ascii="Times New Roman" w:eastAsia="Times New Roman" w:hAnsi="Times New Roman" w:cs="Times New Roman"/>
          <w:color w:val="000000" w:themeColor="text1"/>
        </w:rPr>
      </w:pPr>
      <w:r w:rsidRPr="00B25962">
        <w:rPr>
          <w:rFonts w:ascii="Times New Roman" w:eastAsia="Times New Roman" w:hAnsi="Times New Roman" w:cs="Times New Roman"/>
          <w:color w:val="000000" w:themeColor="text1"/>
        </w:rPr>
        <w:t xml:space="preserve">Ook bestuursrechters hebben zich </w:t>
      </w:r>
      <w:r w:rsidR="00F12BDE" w:rsidRPr="00B25962">
        <w:rPr>
          <w:rFonts w:ascii="Times New Roman" w:eastAsia="Times New Roman" w:hAnsi="Times New Roman" w:cs="Times New Roman"/>
          <w:color w:val="000000" w:themeColor="text1"/>
        </w:rPr>
        <w:t xml:space="preserve">naar aanleiding van de kinderopvangtoeslag </w:t>
      </w:r>
      <w:r w:rsidRPr="00B25962">
        <w:rPr>
          <w:rFonts w:ascii="Times New Roman" w:eastAsia="Times New Roman" w:hAnsi="Times New Roman" w:cs="Times New Roman"/>
          <w:color w:val="000000" w:themeColor="text1"/>
        </w:rPr>
        <w:t>bezonnen en tonen zich kritischer ten aanzien van overheids</w:t>
      </w:r>
      <w:r w:rsidR="00AC4759" w:rsidRPr="00B25962">
        <w:rPr>
          <w:rFonts w:ascii="Times New Roman" w:eastAsia="Times New Roman" w:hAnsi="Times New Roman" w:cs="Times New Roman"/>
          <w:color w:val="000000" w:themeColor="text1"/>
        </w:rPr>
        <w:t>optreden</w:t>
      </w:r>
      <w:r w:rsidRPr="00B25962">
        <w:rPr>
          <w:rFonts w:ascii="Times New Roman" w:eastAsia="Times New Roman" w:hAnsi="Times New Roman" w:cs="Times New Roman"/>
          <w:color w:val="000000" w:themeColor="text1"/>
        </w:rPr>
        <w:t>.</w:t>
      </w:r>
      <w:r w:rsidR="00AC4759" w:rsidRPr="00B25962">
        <w:rPr>
          <w:rStyle w:val="FootnoteReference"/>
          <w:rFonts w:ascii="Times New Roman" w:eastAsia="Times New Roman" w:hAnsi="Times New Roman" w:cs="Times New Roman"/>
          <w:color w:val="000000" w:themeColor="text1"/>
        </w:rPr>
        <w:footnoteReference w:id="23"/>
      </w:r>
      <w:r w:rsidR="009A30B4" w:rsidRPr="00B25962">
        <w:rPr>
          <w:rFonts w:ascii="Times New Roman" w:eastAsia="Times New Roman" w:hAnsi="Times New Roman" w:cs="Times New Roman"/>
          <w:color w:val="000000" w:themeColor="text1"/>
        </w:rPr>
        <w:t xml:space="preserve"> Een exponent hiervan is de uitspraak van de Afdeling bestuursrechtspraak van de Raad van State van 2 februari 2022 (Harderwijk), waarin een kritischer toets wordt aangelegd om de evenredigheid van (discretionaire, niet-bestraffende) overheidsbesluiten te beoordelen.</w:t>
      </w:r>
      <w:r w:rsidR="009A30B4" w:rsidRPr="00B25962">
        <w:rPr>
          <w:rStyle w:val="FootnoteReference"/>
          <w:rFonts w:ascii="Times New Roman" w:eastAsia="Times New Roman" w:hAnsi="Times New Roman" w:cs="Times New Roman"/>
          <w:color w:val="000000" w:themeColor="text1"/>
        </w:rPr>
        <w:footnoteReference w:id="24"/>
      </w:r>
      <w:r w:rsidR="00EF466D" w:rsidRPr="00B25962">
        <w:rPr>
          <w:rFonts w:ascii="Times New Roman" w:eastAsia="Times New Roman" w:hAnsi="Times New Roman" w:cs="Times New Roman"/>
          <w:color w:val="000000" w:themeColor="text1"/>
        </w:rPr>
        <w:t xml:space="preserve"> </w:t>
      </w:r>
      <w:r w:rsidR="005A5EA8" w:rsidRPr="00B25962">
        <w:rPr>
          <w:rFonts w:ascii="Times New Roman" w:eastAsia="Times New Roman" w:hAnsi="Times New Roman" w:cs="Times New Roman"/>
          <w:color w:val="000000" w:themeColor="text1"/>
        </w:rPr>
        <w:t>D</w:t>
      </w:r>
      <w:r w:rsidR="001A1C7D" w:rsidRPr="00B25962">
        <w:rPr>
          <w:rFonts w:ascii="Times New Roman" w:eastAsia="Times New Roman" w:hAnsi="Times New Roman" w:cs="Times New Roman"/>
          <w:color w:val="000000" w:themeColor="text1"/>
        </w:rPr>
        <w:t>e</w:t>
      </w:r>
      <w:r w:rsidR="00EF466D" w:rsidRPr="00B25962">
        <w:rPr>
          <w:rFonts w:ascii="Times New Roman" w:eastAsia="Times New Roman" w:hAnsi="Times New Roman" w:cs="Times New Roman"/>
          <w:color w:val="000000" w:themeColor="text1"/>
        </w:rPr>
        <w:t xml:space="preserve">ze uitspraak kan worden beschouwd als een </w:t>
      </w:r>
      <w:r w:rsidR="00091B1F" w:rsidRPr="00B25962">
        <w:rPr>
          <w:rFonts w:ascii="Times New Roman" w:eastAsia="Times New Roman" w:hAnsi="Times New Roman" w:cs="Times New Roman"/>
          <w:color w:val="000000" w:themeColor="text1"/>
        </w:rPr>
        <w:t xml:space="preserve">omslag </w:t>
      </w:r>
      <w:r w:rsidR="00EF466D" w:rsidRPr="00B25962">
        <w:rPr>
          <w:rFonts w:ascii="Times New Roman" w:eastAsia="Times New Roman" w:hAnsi="Times New Roman" w:cs="Times New Roman"/>
          <w:color w:val="000000" w:themeColor="text1"/>
        </w:rPr>
        <w:t>in de verhouding tussen de rechtsprekende en uitvoerende macht in het kader van de trias politica.</w:t>
      </w:r>
      <w:r w:rsidR="00AA58ED" w:rsidRPr="00B25962">
        <w:rPr>
          <w:rStyle w:val="FootnoteReference"/>
          <w:rFonts w:ascii="Times New Roman" w:eastAsia="Times New Roman" w:hAnsi="Times New Roman" w:cs="Times New Roman"/>
          <w:color w:val="000000" w:themeColor="text1"/>
        </w:rPr>
        <w:footnoteReference w:id="25"/>
      </w:r>
      <w:r w:rsidR="00EF466D" w:rsidRPr="00B25962">
        <w:rPr>
          <w:rFonts w:ascii="Times New Roman" w:eastAsia="Times New Roman" w:hAnsi="Times New Roman" w:cs="Times New Roman"/>
          <w:color w:val="000000" w:themeColor="text1"/>
        </w:rPr>
        <w:t xml:space="preserve"> Waar de rechter zich bij de beoordeling van (discretionaire) bestuursbesluiten doorgaans afstandelijk en terughoudend opstelde, wordt die nu veel meer ruimte geboden voor een indringender toetsing in het licht het evenredigheidsbeginsel. </w:t>
      </w:r>
    </w:p>
    <w:p w14:paraId="7448B549" w14:textId="296FE242" w:rsidR="00F12BDE" w:rsidRPr="00B25962" w:rsidRDefault="00F12BDE" w:rsidP="00B25962">
      <w:pPr>
        <w:ind w:firstLine="357"/>
        <w:jc w:val="both"/>
        <w:rPr>
          <w:rFonts w:ascii="Times New Roman" w:eastAsia="Times New Roman" w:hAnsi="Times New Roman" w:cs="Times New Roman"/>
          <w:color w:val="000000" w:themeColor="text1"/>
        </w:rPr>
      </w:pPr>
      <w:r w:rsidRPr="00B25962">
        <w:rPr>
          <w:rFonts w:ascii="Times New Roman" w:eastAsia="Times New Roman" w:hAnsi="Times New Roman" w:cs="Times New Roman"/>
          <w:color w:val="000000" w:themeColor="text1"/>
        </w:rPr>
        <w:t xml:space="preserve">De kinderopvangtoeslagaffaire heeft </w:t>
      </w:r>
      <w:r w:rsidR="00483821" w:rsidRPr="00B25962">
        <w:rPr>
          <w:rFonts w:ascii="Times New Roman" w:eastAsia="Times New Roman" w:hAnsi="Times New Roman" w:cs="Times New Roman"/>
          <w:color w:val="000000" w:themeColor="text1"/>
        </w:rPr>
        <w:t xml:space="preserve">eveneens </w:t>
      </w:r>
      <w:r w:rsidRPr="00B25962">
        <w:rPr>
          <w:rFonts w:ascii="Times New Roman" w:eastAsia="Times New Roman" w:hAnsi="Times New Roman" w:cs="Times New Roman"/>
          <w:color w:val="000000" w:themeColor="text1"/>
        </w:rPr>
        <w:t xml:space="preserve">een impuls gegeven aan het denken over ambtelijk vakmanschap. Dit thema neemt </w:t>
      </w:r>
      <w:r w:rsidR="00483821" w:rsidRPr="00B25962">
        <w:rPr>
          <w:rFonts w:ascii="Times New Roman" w:eastAsia="Times New Roman" w:hAnsi="Times New Roman" w:cs="Times New Roman"/>
          <w:color w:val="000000" w:themeColor="text1"/>
        </w:rPr>
        <w:t>dan ook</w:t>
      </w:r>
      <w:r w:rsidR="001B7FC0" w:rsidRPr="00B25962">
        <w:rPr>
          <w:rFonts w:ascii="Times New Roman" w:eastAsia="Times New Roman" w:hAnsi="Times New Roman" w:cs="Times New Roman"/>
          <w:color w:val="000000" w:themeColor="text1"/>
        </w:rPr>
        <w:t xml:space="preserve"> </w:t>
      </w:r>
      <w:r w:rsidRPr="00B25962">
        <w:rPr>
          <w:rFonts w:ascii="Times New Roman" w:eastAsia="Times New Roman" w:hAnsi="Times New Roman" w:cs="Times New Roman"/>
          <w:color w:val="000000" w:themeColor="text1"/>
        </w:rPr>
        <w:t xml:space="preserve">een prominente plaats in </w:t>
      </w:r>
      <w:r w:rsidR="00C63371" w:rsidRPr="00B25962">
        <w:rPr>
          <w:rFonts w:ascii="Times New Roman" w:eastAsia="Times New Roman" w:hAnsi="Times New Roman" w:cs="Times New Roman"/>
          <w:color w:val="000000" w:themeColor="text1"/>
        </w:rPr>
        <w:t xml:space="preserve">op </w:t>
      </w:r>
      <w:r w:rsidRPr="00B25962">
        <w:rPr>
          <w:rFonts w:ascii="Times New Roman" w:eastAsia="Times New Roman" w:hAnsi="Times New Roman" w:cs="Times New Roman"/>
          <w:color w:val="000000" w:themeColor="text1"/>
        </w:rPr>
        <w:t>de ‘</w:t>
      </w:r>
      <w:proofErr w:type="spellStart"/>
      <w:r w:rsidRPr="00B25962">
        <w:rPr>
          <w:rFonts w:ascii="Times New Roman" w:eastAsia="Times New Roman" w:hAnsi="Times New Roman" w:cs="Times New Roman"/>
          <w:color w:val="000000" w:themeColor="text1"/>
        </w:rPr>
        <w:t>Overheidsbrede</w:t>
      </w:r>
      <w:proofErr w:type="spellEnd"/>
      <w:r w:rsidRPr="00B25962">
        <w:rPr>
          <w:rFonts w:ascii="Times New Roman" w:eastAsia="Times New Roman" w:hAnsi="Times New Roman" w:cs="Times New Roman"/>
          <w:color w:val="000000" w:themeColor="text1"/>
        </w:rPr>
        <w:t xml:space="preserve"> Werkagenda voor de publieke dienstverlening’, een programma gericht op het verbeteren van </w:t>
      </w:r>
      <w:r w:rsidR="001B7FC0" w:rsidRPr="00B25962">
        <w:rPr>
          <w:rFonts w:ascii="Times New Roman" w:eastAsia="Times New Roman" w:hAnsi="Times New Roman" w:cs="Times New Roman"/>
          <w:color w:val="000000" w:themeColor="text1"/>
        </w:rPr>
        <w:t xml:space="preserve">eerdergenoemde </w:t>
      </w:r>
      <w:r w:rsidRPr="00B25962">
        <w:rPr>
          <w:rFonts w:ascii="Times New Roman" w:eastAsia="Times New Roman" w:hAnsi="Times New Roman" w:cs="Times New Roman"/>
          <w:color w:val="000000" w:themeColor="text1"/>
        </w:rPr>
        <w:t>overheidsdienstverlening.</w:t>
      </w:r>
      <w:r w:rsidRPr="00B25962">
        <w:rPr>
          <w:rStyle w:val="FootnoteReference"/>
          <w:rFonts w:ascii="Times New Roman" w:eastAsia="Times New Roman" w:hAnsi="Times New Roman" w:cs="Times New Roman"/>
          <w:color w:val="000000" w:themeColor="text1"/>
        </w:rPr>
        <w:footnoteReference w:id="26"/>
      </w:r>
      <w:r w:rsidR="007562E8" w:rsidRPr="00B25962">
        <w:rPr>
          <w:rFonts w:ascii="Times New Roman" w:eastAsia="Times New Roman" w:hAnsi="Times New Roman" w:cs="Times New Roman"/>
          <w:color w:val="000000" w:themeColor="text1"/>
        </w:rPr>
        <w:t xml:space="preserve"> Ambtelijk vakmanschap impliceert</w:t>
      </w:r>
      <w:r w:rsidR="001E4115" w:rsidRPr="00B25962">
        <w:rPr>
          <w:rFonts w:ascii="Times New Roman" w:eastAsia="Times New Roman" w:hAnsi="Times New Roman" w:cs="Times New Roman"/>
          <w:color w:val="000000" w:themeColor="text1"/>
        </w:rPr>
        <w:t xml:space="preserve">, althans in mijn ogen, </w:t>
      </w:r>
      <w:r w:rsidR="007562E8" w:rsidRPr="00B25962">
        <w:rPr>
          <w:rFonts w:ascii="Times New Roman" w:eastAsia="Times New Roman" w:hAnsi="Times New Roman" w:cs="Times New Roman"/>
          <w:color w:val="000000" w:themeColor="text1"/>
        </w:rPr>
        <w:t>het bieden van tegenspraak en het vermogen om in schrijnende gevallen beargumenteerd af te wijken van strikte wettelijke voorschriften</w:t>
      </w:r>
      <w:r w:rsidR="001B7FC0" w:rsidRPr="00B25962">
        <w:rPr>
          <w:rFonts w:ascii="Times New Roman" w:eastAsia="Times New Roman" w:hAnsi="Times New Roman" w:cs="Times New Roman"/>
          <w:color w:val="000000" w:themeColor="text1"/>
        </w:rPr>
        <w:t xml:space="preserve"> (het bieden van maatwerk)</w:t>
      </w:r>
      <w:r w:rsidR="007562E8" w:rsidRPr="00B25962">
        <w:rPr>
          <w:rFonts w:ascii="Times New Roman" w:eastAsia="Times New Roman" w:hAnsi="Times New Roman" w:cs="Times New Roman"/>
          <w:color w:val="000000" w:themeColor="text1"/>
        </w:rPr>
        <w:t>.</w:t>
      </w:r>
      <w:r w:rsidR="001E4115" w:rsidRPr="00B25962">
        <w:rPr>
          <w:rStyle w:val="FootnoteReference"/>
          <w:rFonts w:ascii="Times New Roman" w:eastAsia="Times New Roman" w:hAnsi="Times New Roman" w:cs="Times New Roman"/>
          <w:color w:val="000000" w:themeColor="text1"/>
        </w:rPr>
        <w:footnoteReference w:id="27"/>
      </w:r>
      <w:r w:rsidR="007562E8" w:rsidRPr="00B25962">
        <w:rPr>
          <w:rFonts w:ascii="Times New Roman" w:eastAsia="Times New Roman" w:hAnsi="Times New Roman" w:cs="Times New Roman"/>
          <w:color w:val="000000" w:themeColor="text1"/>
        </w:rPr>
        <w:t xml:space="preserve"> </w:t>
      </w:r>
    </w:p>
    <w:p w14:paraId="55B99DB9" w14:textId="77777777" w:rsidR="00ED4E1C" w:rsidRPr="00B25962" w:rsidRDefault="00ED4E1C" w:rsidP="00B25962">
      <w:pPr>
        <w:jc w:val="both"/>
        <w:rPr>
          <w:rFonts w:ascii="Times New Roman" w:hAnsi="Times New Roman" w:cs="Times New Roman"/>
        </w:rPr>
      </w:pPr>
    </w:p>
    <w:p w14:paraId="771AAF07" w14:textId="5554BE08" w:rsidR="00ED4E1C" w:rsidRPr="00B25962" w:rsidRDefault="00ED4E1C" w:rsidP="00B25962">
      <w:pPr>
        <w:pStyle w:val="ListParagraph"/>
        <w:numPr>
          <w:ilvl w:val="0"/>
          <w:numId w:val="1"/>
        </w:numPr>
        <w:ind w:left="357" w:hanging="357"/>
        <w:jc w:val="both"/>
        <w:rPr>
          <w:rFonts w:ascii="Times New Roman" w:hAnsi="Times New Roman" w:cs="Times New Roman"/>
          <w:b/>
          <w:bCs/>
        </w:rPr>
      </w:pPr>
      <w:r w:rsidRPr="00B25962">
        <w:rPr>
          <w:rFonts w:ascii="Times New Roman" w:hAnsi="Times New Roman" w:cs="Times New Roman"/>
          <w:b/>
          <w:bCs/>
        </w:rPr>
        <w:t>De boete</w:t>
      </w:r>
      <w:r w:rsidR="00B4232E" w:rsidRPr="00B25962">
        <w:rPr>
          <w:rFonts w:ascii="Times New Roman" w:hAnsi="Times New Roman" w:cs="Times New Roman"/>
          <w:b/>
          <w:bCs/>
        </w:rPr>
        <w:t>praktijk</w:t>
      </w:r>
      <w:r w:rsidR="00D42B03" w:rsidRPr="00B25962">
        <w:rPr>
          <w:rFonts w:ascii="Times New Roman" w:hAnsi="Times New Roman" w:cs="Times New Roman"/>
          <w:b/>
          <w:bCs/>
        </w:rPr>
        <w:t xml:space="preserve"> </w:t>
      </w:r>
      <w:r w:rsidRPr="00B25962">
        <w:rPr>
          <w:rFonts w:ascii="Times New Roman" w:hAnsi="Times New Roman" w:cs="Times New Roman"/>
          <w:b/>
          <w:bCs/>
        </w:rPr>
        <w:t>in het financieel toezicht</w:t>
      </w:r>
    </w:p>
    <w:p w14:paraId="2DEF7BA3" w14:textId="77777777" w:rsidR="00324EF6" w:rsidRPr="00B25962" w:rsidRDefault="00324EF6" w:rsidP="00B25962">
      <w:pPr>
        <w:jc w:val="both"/>
        <w:rPr>
          <w:rFonts w:ascii="Times New Roman" w:hAnsi="Times New Roman" w:cs="Times New Roman"/>
        </w:rPr>
      </w:pPr>
    </w:p>
    <w:p w14:paraId="24CBCF83" w14:textId="6C34A6AF" w:rsidR="006A7C3E" w:rsidRPr="00B25962" w:rsidRDefault="001B7FC0" w:rsidP="00B25962">
      <w:pPr>
        <w:jc w:val="both"/>
        <w:rPr>
          <w:rFonts w:ascii="Times New Roman" w:hAnsi="Times New Roman" w:cs="Times New Roman"/>
        </w:rPr>
      </w:pPr>
      <w:r w:rsidRPr="00B25962">
        <w:rPr>
          <w:rFonts w:ascii="Times New Roman" w:hAnsi="Times New Roman" w:cs="Times New Roman"/>
        </w:rPr>
        <w:t xml:space="preserve">Wat betekenen deze ontwikkelingen voor de boetepraktijk in het financieel toezicht? </w:t>
      </w:r>
      <w:r w:rsidR="007F7854" w:rsidRPr="00B25962">
        <w:rPr>
          <w:rFonts w:ascii="Times New Roman" w:hAnsi="Times New Roman" w:cs="Times New Roman"/>
        </w:rPr>
        <w:t>Wat betekent de aanzwellende roep om responsiviteit voor de boetefunctionaris werkzaam bij de financieel toezichthouder</w:t>
      </w:r>
      <w:r w:rsidR="000F1C41" w:rsidRPr="00B25962">
        <w:rPr>
          <w:rFonts w:ascii="Times New Roman" w:hAnsi="Times New Roman" w:cs="Times New Roman"/>
        </w:rPr>
        <w:t xml:space="preserve"> (de AFM en DNB)</w:t>
      </w:r>
      <w:r w:rsidR="007F7854" w:rsidRPr="00B25962">
        <w:rPr>
          <w:rFonts w:ascii="Times New Roman" w:hAnsi="Times New Roman" w:cs="Times New Roman"/>
        </w:rPr>
        <w:t>? Moet die zich tegen deze achtergrond niet meer rekenschap geven van</w:t>
      </w:r>
      <w:r w:rsidR="007F4DFE" w:rsidRPr="00B25962">
        <w:rPr>
          <w:rFonts w:ascii="Times New Roman" w:hAnsi="Times New Roman" w:cs="Times New Roman"/>
        </w:rPr>
        <w:t xml:space="preserve"> </w:t>
      </w:r>
      <w:r w:rsidR="001A1C7D" w:rsidRPr="00B25962">
        <w:rPr>
          <w:rFonts w:ascii="Times New Roman" w:hAnsi="Times New Roman" w:cs="Times New Roman"/>
        </w:rPr>
        <w:t>de uitwerking van zijn besluit in de praktijk</w:t>
      </w:r>
      <w:r w:rsidR="007F4DFE" w:rsidRPr="00B25962">
        <w:rPr>
          <w:rFonts w:ascii="Times New Roman" w:hAnsi="Times New Roman" w:cs="Times New Roman"/>
        </w:rPr>
        <w:t>?</w:t>
      </w:r>
    </w:p>
    <w:p w14:paraId="40AD8477" w14:textId="77777777" w:rsidR="007F7854" w:rsidRDefault="007F7854" w:rsidP="00B25962">
      <w:pPr>
        <w:jc w:val="both"/>
        <w:rPr>
          <w:rFonts w:ascii="Times New Roman" w:hAnsi="Times New Roman" w:cs="Times New Roman"/>
        </w:rPr>
      </w:pPr>
    </w:p>
    <w:p w14:paraId="76DE795A" w14:textId="77777777" w:rsidR="00CB11C1" w:rsidRDefault="00CB11C1" w:rsidP="00B25962">
      <w:pPr>
        <w:jc w:val="both"/>
        <w:rPr>
          <w:rFonts w:ascii="Times New Roman" w:hAnsi="Times New Roman" w:cs="Times New Roman"/>
        </w:rPr>
      </w:pPr>
    </w:p>
    <w:p w14:paraId="49C4C407" w14:textId="77777777" w:rsidR="00CB11C1" w:rsidRPr="00B25962" w:rsidRDefault="00CB11C1" w:rsidP="00B25962">
      <w:pPr>
        <w:jc w:val="both"/>
        <w:rPr>
          <w:rFonts w:ascii="Times New Roman" w:hAnsi="Times New Roman" w:cs="Times New Roman"/>
        </w:rPr>
      </w:pPr>
    </w:p>
    <w:p w14:paraId="3C1D3478" w14:textId="6992F909" w:rsidR="005637F8" w:rsidRPr="00B25962" w:rsidRDefault="00B4232E"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lastRenderedPageBreak/>
        <w:t>Een</w:t>
      </w:r>
      <w:r w:rsidR="009212B7" w:rsidRPr="00B25962">
        <w:rPr>
          <w:rFonts w:ascii="Times New Roman" w:hAnsi="Times New Roman" w:cs="Times New Roman"/>
          <w:i/>
          <w:iCs/>
        </w:rPr>
        <w:t xml:space="preserve"> een</w:t>
      </w:r>
      <w:r w:rsidRPr="00B25962">
        <w:rPr>
          <w:rFonts w:ascii="Times New Roman" w:hAnsi="Times New Roman" w:cs="Times New Roman"/>
          <w:i/>
          <w:iCs/>
        </w:rPr>
        <w:t>zijdige belangenafweging</w:t>
      </w:r>
    </w:p>
    <w:p w14:paraId="3204387E" w14:textId="77777777" w:rsidR="00B25962" w:rsidRDefault="00B25962" w:rsidP="00B25962">
      <w:pPr>
        <w:jc w:val="both"/>
        <w:rPr>
          <w:rFonts w:ascii="Times New Roman" w:hAnsi="Times New Roman" w:cs="Times New Roman"/>
        </w:rPr>
      </w:pPr>
    </w:p>
    <w:p w14:paraId="613CF3BA" w14:textId="355902E0" w:rsidR="00F3004C" w:rsidRPr="00B25962" w:rsidRDefault="007F7854" w:rsidP="00B25962">
      <w:pPr>
        <w:jc w:val="both"/>
        <w:rPr>
          <w:rFonts w:ascii="Times New Roman" w:hAnsi="Times New Roman" w:cs="Times New Roman"/>
          <w:color w:val="000000" w:themeColor="text1"/>
        </w:rPr>
      </w:pPr>
      <w:r w:rsidRPr="00B25962">
        <w:rPr>
          <w:rFonts w:ascii="Times New Roman" w:hAnsi="Times New Roman" w:cs="Times New Roman"/>
        </w:rPr>
        <w:t xml:space="preserve">Ik kom daarop omdat </w:t>
      </w:r>
      <w:r w:rsidR="00F3004C" w:rsidRPr="00B25962">
        <w:rPr>
          <w:rFonts w:ascii="Times New Roman" w:hAnsi="Times New Roman" w:cs="Times New Roman"/>
        </w:rPr>
        <w:t xml:space="preserve">de boetepraktijk </w:t>
      </w:r>
      <w:r w:rsidR="00227103" w:rsidRPr="00B25962">
        <w:rPr>
          <w:rFonts w:ascii="Times New Roman" w:hAnsi="Times New Roman" w:cs="Times New Roman"/>
        </w:rPr>
        <w:t xml:space="preserve">in het kader van het financieel toezicht </w:t>
      </w:r>
      <w:r w:rsidR="00F3004C" w:rsidRPr="00B25962">
        <w:rPr>
          <w:rFonts w:ascii="Times New Roman" w:hAnsi="Times New Roman" w:cs="Times New Roman"/>
        </w:rPr>
        <w:t xml:space="preserve">op mij een </w:t>
      </w:r>
      <w:r w:rsidR="000F1C41" w:rsidRPr="00B25962">
        <w:rPr>
          <w:rFonts w:ascii="Times New Roman" w:hAnsi="Times New Roman" w:cs="Times New Roman"/>
        </w:rPr>
        <w:t xml:space="preserve">tamelijk </w:t>
      </w:r>
      <w:r w:rsidR="00F3004C" w:rsidRPr="00B25962">
        <w:rPr>
          <w:rFonts w:ascii="Times New Roman" w:hAnsi="Times New Roman" w:cs="Times New Roman"/>
        </w:rPr>
        <w:t>hardvochtige indruk maakte</w:t>
      </w:r>
      <w:r w:rsidR="00F61230" w:rsidRPr="00B25962">
        <w:rPr>
          <w:rFonts w:ascii="Times New Roman" w:hAnsi="Times New Roman" w:cs="Times New Roman"/>
        </w:rPr>
        <w:t xml:space="preserve">, toen ik </w:t>
      </w:r>
      <w:r w:rsidR="00227103" w:rsidRPr="00B25962">
        <w:rPr>
          <w:rFonts w:ascii="Times New Roman" w:hAnsi="Times New Roman" w:cs="Times New Roman"/>
        </w:rPr>
        <w:t>da</w:t>
      </w:r>
      <w:r w:rsidR="00F61230" w:rsidRPr="00B25962">
        <w:rPr>
          <w:rFonts w:ascii="Times New Roman" w:hAnsi="Times New Roman" w:cs="Times New Roman"/>
        </w:rPr>
        <w:t>t onderzocht in het kader van mijn promotieonderzoek.</w:t>
      </w:r>
      <w:r w:rsidR="00F61230" w:rsidRPr="00B25962">
        <w:rPr>
          <w:rStyle w:val="FootnoteReference"/>
          <w:rFonts w:ascii="Times New Roman" w:hAnsi="Times New Roman" w:cs="Times New Roman"/>
        </w:rPr>
        <w:footnoteReference w:id="28"/>
      </w:r>
      <w:r w:rsidR="00A51493" w:rsidRPr="00B25962">
        <w:rPr>
          <w:rFonts w:ascii="Times New Roman" w:hAnsi="Times New Roman" w:cs="Times New Roman"/>
        </w:rPr>
        <w:t xml:space="preserve"> </w:t>
      </w:r>
      <w:r w:rsidR="005637F8" w:rsidRPr="00B25962">
        <w:rPr>
          <w:rFonts w:ascii="Times New Roman" w:hAnsi="Times New Roman" w:cs="Times New Roman"/>
        </w:rPr>
        <w:t xml:space="preserve">Nu zou mij tegengeworpen </w:t>
      </w:r>
      <w:r w:rsidR="00F3004C" w:rsidRPr="00B25962">
        <w:rPr>
          <w:rFonts w:ascii="Times New Roman" w:hAnsi="Times New Roman" w:cs="Times New Roman"/>
        </w:rPr>
        <w:t xml:space="preserve">kunnen </w:t>
      </w:r>
      <w:r w:rsidR="005637F8" w:rsidRPr="00B25962">
        <w:rPr>
          <w:rFonts w:ascii="Times New Roman" w:hAnsi="Times New Roman" w:cs="Times New Roman"/>
        </w:rPr>
        <w:t xml:space="preserve">worden </w:t>
      </w:r>
      <w:r w:rsidR="00F3004C" w:rsidRPr="00B25962">
        <w:rPr>
          <w:rFonts w:ascii="Times New Roman" w:hAnsi="Times New Roman" w:cs="Times New Roman"/>
        </w:rPr>
        <w:t xml:space="preserve">dat dit </w:t>
      </w:r>
      <w:r w:rsidR="005637F8" w:rsidRPr="00B25962">
        <w:rPr>
          <w:rFonts w:ascii="Times New Roman" w:hAnsi="Times New Roman" w:cs="Times New Roman"/>
        </w:rPr>
        <w:t xml:space="preserve">niet </w:t>
      </w:r>
      <w:r w:rsidR="00F3004C" w:rsidRPr="00B25962">
        <w:rPr>
          <w:rFonts w:ascii="Times New Roman" w:hAnsi="Times New Roman" w:cs="Times New Roman"/>
        </w:rPr>
        <w:t>problematisch is</w:t>
      </w:r>
      <w:r w:rsidR="00CB11C1">
        <w:rPr>
          <w:rFonts w:ascii="Times New Roman" w:hAnsi="Times New Roman" w:cs="Times New Roman"/>
        </w:rPr>
        <w:t>,</w:t>
      </w:r>
      <w:r w:rsidR="00F3004C" w:rsidRPr="00B25962">
        <w:rPr>
          <w:rFonts w:ascii="Times New Roman" w:hAnsi="Times New Roman" w:cs="Times New Roman"/>
        </w:rPr>
        <w:t xml:space="preserve"> omdat het veelal gaat om professionele organisaties en niet om minder zelfredzame </w:t>
      </w:r>
      <w:r w:rsidR="005637F8" w:rsidRPr="00B25962">
        <w:rPr>
          <w:rFonts w:ascii="Times New Roman" w:hAnsi="Times New Roman" w:cs="Times New Roman"/>
        </w:rPr>
        <w:t xml:space="preserve">particuliere </w:t>
      </w:r>
      <w:r w:rsidR="00F3004C" w:rsidRPr="00B25962">
        <w:rPr>
          <w:rFonts w:ascii="Times New Roman" w:hAnsi="Times New Roman" w:cs="Times New Roman"/>
        </w:rPr>
        <w:t>rechtszoekenden</w:t>
      </w:r>
      <w:r w:rsidR="007F4DFE" w:rsidRPr="00B25962">
        <w:rPr>
          <w:rFonts w:ascii="Times New Roman" w:hAnsi="Times New Roman" w:cs="Times New Roman"/>
        </w:rPr>
        <w:t>, zoals bijvoorbeeld in de kinderopvangtoeslagaffaire</w:t>
      </w:r>
      <w:r w:rsidR="00F3004C" w:rsidRPr="00B25962">
        <w:rPr>
          <w:rFonts w:ascii="Times New Roman" w:hAnsi="Times New Roman" w:cs="Times New Roman"/>
        </w:rPr>
        <w:t xml:space="preserve">. Ik stel daartegenover dat een passende handhaving ook bijdraagt aan </w:t>
      </w:r>
      <w:r w:rsidR="00F3004C" w:rsidRPr="00B25962">
        <w:rPr>
          <w:rFonts w:ascii="Times New Roman" w:hAnsi="Times New Roman" w:cs="Times New Roman"/>
          <w:color w:val="000000" w:themeColor="text1"/>
        </w:rPr>
        <w:t xml:space="preserve">de geloofwaardigheid van en het draagvlak voor het </w:t>
      </w:r>
      <w:r w:rsidR="00F3004C" w:rsidRPr="00B25962">
        <w:rPr>
          <w:rFonts w:ascii="Times New Roman" w:hAnsi="Times New Roman" w:cs="Times New Roman"/>
        </w:rPr>
        <w:t>financieel toezicht</w:t>
      </w:r>
      <w:r w:rsidR="00F3004C" w:rsidRPr="00B25962">
        <w:rPr>
          <w:rFonts w:ascii="Times New Roman" w:hAnsi="Times New Roman" w:cs="Times New Roman"/>
          <w:color w:val="000000" w:themeColor="text1"/>
        </w:rPr>
        <w:t>.</w:t>
      </w:r>
      <w:r w:rsidR="00E82354" w:rsidRPr="00B25962">
        <w:rPr>
          <w:rFonts w:ascii="Times New Roman" w:hAnsi="Times New Roman" w:cs="Times New Roman"/>
          <w:color w:val="000000" w:themeColor="text1"/>
        </w:rPr>
        <w:t xml:space="preserve"> </w:t>
      </w:r>
    </w:p>
    <w:p w14:paraId="7E3A83B1" w14:textId="316DA2F0" w:rsidR="00405A1D" w:rsidRPr="00B25962" w:rsidRDefault="005B6203" w:rsidP="00B25962">
      <w:pPr>
        <w:ind w:firstLine="708"/>
        <w:jc w:val="both"/>
        <w:rPr>
          <w:rFonts w:ascii="Times New Roman" w:hAnsi="Times New Roman" w:cs="Times New Roman"/>
        </w:rPr>
      </w:pPr>
      <w:r w:rsidRPr="00B25962">
        <w:rPr>
          <w:rFonts w:ascii="Times New Roman" w:hAnsi="Times New Roman" w:cs="Times New Roman"/>
        </w:rPr>
        <w:t>Op basis van mijn onderzoek</w:t>
      </w:r>
      <w:r w:rsidR="001A1C7D" w:rsidRPr="00B25962">
        <w:rPr>
          <w:rFonts w:ascii="Times New Roman" w:hAnsi="Times New Roman" w:cs="Times New Roman"/>
        </w:rPr>
        <w:t xml:space="preserve">, vat ik </w:t>
      </w:r>
      <w:r w:rsidR="00985936" w:rsidRPr="00B25962">
        <w:rPr>
          <w:rFonts w:ascii="Times New Roman" w:hAnsi="Times New Roman" w:cs="Times New Roman"/>
        </w:rPr>
        <w:t>d</w:t>
      </w:r>
      <w:r w:rsidR="007F7854" w:rsidRPr="00B25962">
        <w:rPr>
          <w:rFonts w:ascii="Times New Roman" w:hAnsi="Times New Roman" w:cs="Times New Roman"/>
        </w:rPr>
        <w:t xml:space="preserve">e besluitvorming over het opleggen van een bestuurlijke boete </w:t>
      </w:r>
      <w:r w:rsidR="001A1C7D" w:rsidRPr="00B25962">
        <w:rPr>
          <w:rFonts w:ascii="Times New Roman" w:hAnsi="Times New Roman" w:cs="Times New Roman"/>
        </w:rPr>
        <w:t xml:space="preserve">op </w:t>
      </w:r>
      <w:r w:rsidR="007F7854" w:rsidRPr="00B25962">
        <w:rPr>
          <w:rFonts w:ascii="Times New Roman" w:hAnsi="Times New Roman" w:cs="Times New Roman"/>
        </w:rPr>
        <w:t>als een tweetrapsraket</w:t>
      </w:r>
      <w:r w:rsidR="00985936" w:rsidRPr="00B25962">
        <w:rPr>
          <w:rFonts w:ascii="Times New Roman" w:hAnsi="Times New Roman" w:cs="Times New Roman"/>
        </w:rPr>
        <w:t xml:space="preserve">. </w:t>
      </w:r>
      <w:r w:rsidR="007F7854" w:rsidRPr="00B25962">
        <w:rPr>
          <w:rFonts w:ascii="Times New Roman" w:hAnsi="Times New Roman" w:cs="Times New Roman"/>
        </w:rPr>
        <w:t xml:space="preserve">De eerste trap bestaat uit een onderbouwing van het opleggen van de boete als zodanig, de tweede trap uit een onderbouwing van de hoogte ervan. Het viel me op dat de onderbouwing van de eerste stap veel minder rijk was dan die van de tweede. De meest in het oog springende factoren die bij de belangenafweging worden betrokken waren de ernst, verwijtbaarheid en draagkracht. Echter, in de eerste trap bleek de ernst van de overtreding vrij gemakkelijk de doorslag te geven. Die is immers verdisconteerd in het wettelijke boetetariefstelsel. De verwijtbaarheid, althans het ontbreken daarvan, bleek de balans zelden te doen terugslaan. Onder toezicht </w:t>
      </w:r>
      <w:proofErr w:type="spellStart"/>
      <w:r w:rsidR="007F7854" w:rsidRPr="00B25962">
        <w:rPr>
          <w:rFonts w:ascii="Times New Roman" w:hAnsi="Times New Roman" w:cs="Times New Roman"/>
        </w:rPr>
        <w:t>gestelden</w:t>
      </w:r>
      <w:proofErr w:type="spellEnd"/>
      <w:r w:rsidR="007F7854" w:rsidRPr="00B25962">
        <w:rPr>
          <w:rFonts w:ascii="Times New Roman" w:hAnsi="Times New Roman" w:cs="Times New Roman"/>
        </w:rPr>
        <w:t xml:space="preserve"> in het financieel domein worden immers geacht de wet te kennen. </w:t>
      </w:r>
    </w:p>
    <w:p w14:paraId="1277EC54" w14:textId="11753D6D" w:rsidR="007F7854" w:rsidRPr="00B25962" w:rsidRDefault="007F7854" w:rsidP="00B25962">
      <w:pPr>
        <w:ind w:firstLine="708"/>
        <w:jc w:val="both"/>
        <w:rPr>
          <w:rFonts w:ascii="Times New Roman" w:hAnsi="Times New Roman" w:cs="Times New Roman"/>
        </w:rPr>
      </w:pPr>
      <w:r w:rsidRPr="00B25962">
        <w:rPr>
          <w:rFonts w:ascii="Times New Roman" w:hAnsi="Times New Roman" w:cs="Times New Roman"/>
        </w:rPr>
        <w:t xml:space="preserve">Al met al een betrekkelijk mechanische </w:t>
      </w:r>
      <w:r w:rsidR="00405A1D" w:rsidRPr="00B25962">
        <w:rPr>
          <w:rFonts w:ascii="Times New Roman" w:hAnsi="Times New Roman" w:cs="Times New Roman"/>
        </w:rPr>
        <w:t xml:space="preserve">en eendimensionale </w:t>
      </w:r>
      <w:r w:rsidRPr="00B25962">
        <w:rPr>
          <w:rFonts w:ascii="Times New Roman" w:hAnsi="Times New Roman" w:cs="Times New Roman"/>
        </w:rPr>
        <w:t>afweging: als de overtreding eenmaal kan worden vastgesteld, volgt bijna vanzelf een boete. De opportuniteit, meer in het bijzonder de noodzaak</w:t>
      </w:r>
      <w:r w:rsidR="00483821" w:rsidRPr="00B25962">
        <w:rPr>
          <w:rFonts w:ascii="Times New Roman" w:hAnsi="Times New Roman" w:cs="Times New Roman"/>
        </w:rPr>
        <w:t xml:space="preserve"> en geschiktheid</w:t>
      </w:r>
      <w:r w:rsidRPr="00B25962">
        <w:rPr>
          <w:rFonts w:ascii="Times New Roman" w:hAnsi="Times New Roman" w:cs="Times New Roman"/>
        </w:rPr>
        <w:t xml:space="preserve">, van het opleggen van de boete in het concrete geval leek nauwelijks relevant. Heel anders was dit beeld in de tweede trap van de raket. Daar bleek de proportionaliteit veel nadrukkelijker een rol te spelen, </w:t>
      </w:r>
      <w:r w:rsidR="00D80B12" w:rsidRPr="00B25962">
        <w:rPr>
          <w:rFonts w:ascii="Times New Roman" w:hAnsi="Times New Roman" w:cs="Times New Roman"/>
        </w:rPr>
        <w:t xml:space="preserve">mede </w:t>
      </w:r>
      <w:r w:rsidRPr="00B25962">
        <w:rPr>
          <w:rFonts w:ascii="Times New Roman" w:hAnsi="Times New Roman" w:cs="Times New Roman"/>
        </w:rPr>
        <w:t xml:space="preserve">in het licht van jurisprudentie over het evenredigheidsbeginsel. </w:t>
      </w:r>
      <w:r w:rsidR="00D80B12" w:rsidRPr="00B25962">
        <w:rPr>
          <w:rFonts w:ascii="Times New Roman" w:hAnsi="Times New Roman" w:cs="Times New Roman"/>
        </w:rPr>
        <w:t>Immers, de bestuursrechter toetst de hoogte van de boete indringend op evenredigheid.</w:t>
      </w:r>
      <w:r w:rsidR="00D80B12" w:rsidRPr="00B25962">
        <w:rPr>
          <w:rStyle w:val="FootnoteReference"/>
          <w:rFonts w:ascii="Times New Roman" w:hAnsi="Times New Roman" w:cs="Times New Roman"/>
        </w:rPr>
        <w:footnoteReference w:id="29"/>
      </w:r>
      <w:r w:rsidR="00D80B12" w:rsidRPr="00B25962">
        <w:rPr>
          <w:rFonts w:ascii="Times New Roman" w:hAnsi="Times New Roman" w:cs="Times New Roman"/>
        </w:rPr>
        <w:t xml:space="preserve"> </w:t>
      </w:r>
    </w:p>
    <w:p w14:paraId="15D9DF39" w14:textId="0859705E" w:rsidR="00791077" w:rsidRPr="00B25962" w:rsidRDefault="00D322C4" w:rsidP="00B25962">
      <w:pPr>
        <w:ind w:firstLine="360"/>
        <w:jc w:val="both"/>
        <w:rPr>
          <w:rFonts w:ascii="Times New Roman" w:hAnsi="Times New Roman" w:cs="Times New Roman"/>
        </w:rPr>
      </w:pPr>
      <w:r w:rsidRPr="00B25962">
        <w:rPr>
          <w:rFonts w:ascii="Times New Roman" w:hAnsi="Times New Roman" w:cs="Times New Roman"/>
        </w:rPr>
        <w:t>Al met al riep d</w:t>
      </w:r>
      <w:r w:rsidR="00791077" w:rsidRPr="00B25962">
        <w:rPr>
          <w:rFonts w:ascii="Times New Roman" w:hAnsi="Times New Roman" w:cs="Times New Roman"/>
        </w:rPr>
        <w:t>eze praktijk bij mij dan</w:t>
      </w:r>
      <w:r w:rsidRPr="00B25962">
        <w:rPr>
          <w:rFonts w:ascii="Times New Roman" w:hAnsi="Times New Roman" w:cs="Times New Roman"/>
        </w:rPr>
        <w:t xml:space="preserve"> </w:t>
      </w:r>
      <w:r w:rsidR="00791077" w:rsidRPr="00B25962">
        <w:rPr>
          <w:rFonts w:ascii="Times New Roman" w:hAnsi="Times New Roman" w:cs="Times New Roman"/>
        </w:rPr>
        <w:t xml:space="preserve">het beeld op van een radio, waarbij het besluit om een boete op te leggen kan worden vergeleken met de aan- en uitknop en het bepalen van de hoogte met de volumeknop, waarmee de boete op een ‘draaglijk’ niveau kan worden afgestemd. </w:t>
      </w:r>
    </w:p>
    <w:p w14:paraId="7D47C782" w14:textId="77777777" w:rsidR="00791077" w:rsidRPr="00B25962" w:rsidRDefault="00791077" w:rsidP="00B25962">
      <w:pPr>
        <w:jc w:val="both"/>
        <w:rPr>
          <w:rFonts w:ascii="Times New Roman" w:hAnsi="Times New Roman" w:cs="Times New Roman"/>
        </w:rPr>
      </w:pPr>
    </w:p>
    <w:p w14:paraId="503CE34F" w14:textId="46B8E46B" w:rsidR="00D322C4" w:rsidRPr="00B25962" w:rsidRDefault="009212B7"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De r</w:t>
      </w:r>
      <w:r w:rsidR="00D322C4" w:rsidRPr="00B25962">
        <w:rPr>
          <w:rFonts w:ascii="Times New Roman" w:hAnsi="Times New Roman" w:cs="Times New Roman"/>
          <w:i/>
          <w:iCs/>
        </w:rPr>
        <w:t>ol</w:t>
      </w:r>
      <w:r w:rsidRPr="00B25962">
        <w:rPr>
          <w:rFonts w:ascii="Times New Roman" w:hAnsi="Times New Roman" w:cs="Times New Roman"/>
          <w:i/>
          <w:iCs/>
        </w:rPr>
        <w:t xml:space="preserve"> van de</w:t>
      </w:r>
      <w:r w:rsidR="00D322C4" w:rsidRPr="00B25962">
        <w:rPr>
          <w:rFonts w:ascii="Times New Roman" w:hAnsi="Times New Roman" w:cs="Times New Roman"/>
          <w:i/>
          <w:iCs/>
        </w:rPr>
        <w:t xml:space="preserve"> boetefunctionaris</w:t>
      </w:r>
    </w:p>
    <w:p w14:paraId="2485BC9C" w14:textId="77777777" w:rsidR="00B25962" w:rsidRDefault="00B25962" w:rsidP="00B25962">
      <w:pPr>
        <w:jc w:val="both"/>
        <w:rPr>
          <w:rFonts w:ascii="Times New Roman" w:hAnsi="Times New Roman" w:cs="Times New Roman"/>
        </w:rPr>
      </w:pPr>
    </w:p>
    <w:p w14:paraId="13ACB217" w14:textId="124963C8" w:rsidR="0021178E" w:rsidRPr="00B25962" w:rsidRDefault="007D6A70" w:rsidP="00B25962">
      <w:pPr>
        <w:jc w:val="both"/>
        <w:rPr>
          <w:rFonts w:ascii="Times New Roman" w:hAnsi="Times New Roman" w:cs="Times New Roman"/>
        </w:rPr>
      </w:pPr>
      <w:r w:rsidRPr="00B25962">
        <w:rPr>
          <w:rFonts w:ascii="Times New Roman" w:hAnsi="Times New Roman" w:cs="Times New Roman"/>
        </w:rPr>
        <w:t>De</w:t>
      </w:r>
      <w:r w:rsidR="0021178E" w:rsidRPr="00B25962">
        <w:rPr>
          <w:rFonts w:ascii="Times New Roman" w:hAnsi="Times New Roman" w:cs="Times New Roman"/>
        </w:rPr>
        <w:t xml:space="preserve"> </w:t>
      </w:r>
      <w:r w:rsidR="00483821" w:rsidRPr="00B25962">
        <w:rPr>
          <w:rFonts w:ascii="Times New Roman" w:hAnsi="Times New Roman" w:cs="Times New Roman"/>
        </w:rPr>
        <w:t xml:space="preserve">rol die de </w:t>
      </w:r>
      <w:r w:rsidR="0021178E" w:rsidRPr="00B25962">
        <w:rPr>
          <w:rFonts w:ascii="Times New Roman" w:hAnsi="Times New Roman" w:cs="Times New Roman"/>
        </w:rPr>
        <w:t xml:space="preserve">boetefunctionaris </w:t>
      </w:r>
      <w:r w:rsidR="008329DF" w:rsidRPr="00B25962">
        <w:rPr>
          <w:rFonts w:ascii="Times New Roman" w:hAnsi="Times New Roman" w:cs="Times New Roman"/>
        </w:rPr>
        <w:t xml:space="preserve">in dit verband </w:t>
      </w:r>
      <w:r w:rsidR="00483821" w:rsidRPr="00B25962">
        <w:rPr>
          <w:rFonts w:ascii="Times New Roman" w:hAnsi="Times New Roman" w:cs="Times New Roman"/>
        </w:rPr>
        <w:t xml:space="preserve">speelt, </w:t>
      </w:r>
      <w:r w:rsidRPr="00B25962">
        <w:rPr>
          <w:rFonts w:ascii="Times New Roman" w:hAnsi="Times New Roman" w:cs="Times New Roman"/>
        </w:rPr>
        <w:t xml:space="preserve">versterkte </w:t>
      </w:r>
      <w:r w:rsidR="001A1C7D" w:rsidRPr="00B25962">
        <w:rPr>
          <w:rFonts w:ascii="Times New Roman" w:hAnsi="Times New Roman" w:cs="Times New Roman"/>
        </w:rPr>
        <w:t xml:space="preserve">dit </w:t>
      </w:r>
      <w:r w:rsidRPr="00B25962">
        <w:rPr>
          <w:rFonts w:ascii="Times New Roman" w:hAnsi="Times New Roman" w:cs="Times New Roman"/>
        </w:rPr>
        <w:t>beeld</w:t>
      </w:r>
      <w:r w:rsidR="0021178E" w:rsidRPr="00B25962">
        <w:rPr>
          <w:rFonts w:ascii="Times New Roman" w:hAnsi="Times New Roman" w:cs="Times New Roman"/>
        </w:rPr>
        <w:t xml:space="preserve">. Uit mijn onderzoek kwam </w:t>
      </w:r>
      <w:r w:rsidRPr="00B25962">
        <w:rPr>
          <w:rFonts w:ascii="Times New Roman" w:hAnsi="Times New Roman" w:cs="Times New Roman"/>
        </w:rPr>
        <w:t xml:space="preserve">namelijk </w:t>
      </w:r>
      <w:r w:rsidR="0021178E" w:rsidRPr="00B25962">
        <w:rPr>
          <w:rFonts w:ascii="Times New Roman" w:hAnsi="Times New Roman" w:cs="Times New Roman"/>
        </w:rPr>
        <w:t xml:space="preserve">naar voren dat bij de </w:t>
      </w:r>
      <w:r w:rsidR="00483821" w:rsidRPr="00B25962">
        <w:rPr>
          <w:rFonts w:ascii="Times New Roman" w:hAnsi="Times New Roman" w:cs="Times New Roman"/>
        </w:rPr>
        <w:t xml:space="preserve">afweging </w:t>
      </w:r>
      <w:r w:rsidR="0021178E" w:rsidRPr="00B25962">
        <w:rPr>
          <w:rFonts w:ascii="Times New Roman" w:hAnsi="Times New Roman" w:cs="Times New Roman"/>
        </w:rPr>
        <w:t>van de boetefunctionaris om al dan niet een boete op te leggen het zwaartepunt lag op de rechtmatigheid</w:t>
      </w:r>
      <w:r w:rsidR="00D322C4" w:rsidRPr="00B25962">
        <w:rPr>
          <w:rFonts w:ascii="Times New Roman" w:hAnsi="Times New Roman" w:cs="Times New Roman"/>
        </w:rPr>
        <w:t xml:space="preserve"> van het voorgenomen besluit.</w:t>
      </w:r>
      <w:r w:rsidR="0021178E" w:rsidRPr="00B25962">
        <w:rPr>
          <w:rFonts w:ascii="Times New Roman" w:hAnsi="Times New Roman" w:cs="Times New Roman"/>
        </w:rPr>
        <w:t xml:space="preserve"> Dit met een schuin oog op de rechter, waar het besluit </w:t>
      </w:r>
      <w:r w:rsidR="00483821" w:rsidRPr="00B25962">
        <w:rPr>
          <w:rFonts w:ascii="Times New Roman" w:hAnsi="Times New Roman" w:cs="Times New Roman"/>
        </w:rPr>
        <w:t xml:space="preserve">toch vooral </w:t>
      </w:r>
      <w:r w:rsidR="0021178E" w:rsidRPr="00B25962">
        <w:rPr>
          <w:rFonts w:ascii="Times New Roman" w:hAnsi="Times New Roman" w:cs="Times New Roman"/>
        </w:rPr>
        <w:t>in stand moe</w:t>
      </w:r>
      <w:r w:rsidR="00483821" w:rsidRPr="00B25962">
        <w:rPr>
          <w:rFonts w:ascii="Times New Roman" w:hAnsi="Times New Roman" w:cs="Times New Roman"/>
        </w:rPr>
        <w:t>st</w:t>
      </w:r>
      <w:r w:rsidR="0021178E" w:rsidRPr="00B25962">
        <w:rPr>
          <w:rFonts w:ascii="Times New Roman" w:hAnsi="Times New Roman" w:cs="Times New Roman"/>
        </w:rPr>
        <w:t xml:space="preserve"> blijven. De opportuniteit van de boete le</w:t>
      </w:r>
      <w:r w:rsidR="00262116" w:rsidRPr="00B25962">
        <w:rPr>
          <w:rFonts w:ascii="Times New Roman" w:hAnsi="Times New Roman" w:cs="Times New Roman"/>
        </w:rPr>
        <w:t>ek</w:t>
      </w:r>
      <w:r w:rsidR="00483821" w:rsidRPr="00B25962">
        <w:rPr>
          <w:rFonts w:ascii="Times New Roman" w:hAnsi="Times New Roman" w:cs="Times New Roman"/>
        </w:rPr>
        <w:t xml:space="preserve"> </w:t>
      </w:r>
      <w:r w:rsidR="0021178E" w:rsidRPr="00B25962">
        <w:rPr>
          <w:rFonts w:ascii="Times New Roman" w:hAnsi="Times New Roman" w:cs="Times New Roman"/>
        </w:rPr>
        <w:t>nauwelijks een rol te spelen</w:t>
      </w:r>
      <w:r w:rsidR="00D322C4" w:rsidRPr="00B25962">
        <w:rPr>
          <w:rFonts w:ascii="Times New Roman" w:hAnsi="Times New Roman" w:cs="Times New Roman"/>
        </w:rPr>
        <w:t xml:space="preserve">. </w:t>
      </w:r>
      <w:r w:rsidR="001A1C7D" w:rsidRPr="00B25962">
        <w:rPr>
          <w:rFonts w:ascii="Times New Roman" w:hAnsi="Times New Roman" w:cs="Times New Roman"/>
        </w:rPr>
        <w:t xml:space="preserve">In mijn ogen </w:t>
      </w:r>
      <w:r w:rsidRPr="00B25962">
        <w:rPr>
          <w:rFonts w:ascii="Times New Roman" w:hAnsi="Times New Roman" w:cs="Times New Roman"/>
        </w:rPr>
        <w:t>b</w:t>
      </w:r>
      <w:r w:rsidR="008329DF" w:rsidRPr="00B25962">
        <w:rPr>
          <w:rFonts w:ascii="Times New Roman" w:hAnsi="Times New Roman" w:cs="Times New Roman"/>
        </w:rPr>
        <w:t>iedt</w:t>
      </w:r>
      <w:r w:rsidRPr="00B25962">
        <w:rPr>
          <w:rFonts w:ascii="Times New Roman" w:hAnsi="Times New Roman" w:cs="Times New Roman"/>
        </w:rPr>
        <w:t xml:space="preserve"> </w:t>
      </w:r>
      <w:r w:rsidR="00D322C4" w:rsidRPr="00B25962">
        <w:rPr>
          <w:rFonts w:ascii="Times New Roman" w:hAnsi="Times New Roman" w:cs="Times New Roman"/>
        </w:rPr>
        <w:t>d</w:t>
      </w:r>
      <w:r w:rsidR="0021178E" w:rsidRPr="00B25962">
        <w:rPr>
          <w:rFonts w:ascii="Times New Roman" w:hAnsi="Times New Roman" w:cs="Times New Roman"/>
        </w:rPr>
        <w:t>e boetefunctionaris</w:t>
      </w:r>
      <w:r w:rsidR="00DC6843" w:rsidRPr="00B25962">
        <w:rPr>
          <w:rFonts w:ascii="Times New Roman" w:hAnsi="Times New Roman" w:cs="Times New Roman"/>
        </w:rPr>
        <w:t xml:space="preserve">, als onderdeel van het interne stelsel van </w:t>
      </w:r>
      <w:r w:rsidR="00DC6843" w:rsidRPr="00B25962">
        <w:rPr>
          <w:rFonts w:ascii="Times New Roman" w:hAnsi="Times New Roman" w:cs="Times New Roman"/>
          <w:i/>
          <w:iCs/>
        </w:rPr>
        <w:t xml:space="preserve">checks </w:t>
      </w:r>
      <w:proofErr w:type="spellStart"/>
      <w:r w:rsidR="00DC6843" w:rsidRPr="00B25962">
        <w:rPr>
          <w:rFonts w:ascii="Times New Roman" w:hAnsi="Times New Roman" w:cs="Times New Roman"/>
          <w:i/>
          <w:iCs/>
        </w:rPr>
        <w:t>and</w:t>
      </w:r>
      <w:proofErr w:type="spellEnd"/>
      <w:r w:rsidR="00DC6843" w:rsidRPr="00B25962">
        <w:rPr>
          <w:rFonts w:ascii="Times New Roman" w:hAnsi="Times New Roman" w:cs="Times New Roman"/>
          <w:i/>
          <w:iCs/>
        </w:rPr>
        <w:t xml:space="preserve"> </w:t>
      </w:r>
      <w:proofErr w:type="spellStart"/>
      <w:r w:rsidR="00DC6843" w:rsidRPr="00B25962">
        <w:rPr>
          <w:rFonts w:ascii="Times New Roman" w:hAnsi="Times New Roman" w:cs="Times New Roman"/>
          <w:i/>
          <w:iCs/>
        </w:rPr>
        <w:t>balances</w:t>
      </w:r>
      <w:proofErr w:type="spellEnd"/>
      <w:r w:rsidR="00B82195" w:rsidRPr="00B25962">
        <w:rPr>
          <w:rFonts w:ascii="Times New Roman" w:hAnsi="Times New Roman" w:cs="Times New Roman"/>
          <w:i/>
          <w:iCs/>
        </w:rPr>
        <w:t xml:space="preserve"> </w:t>
      </w:r>
      <w:r w:rsidR="00B82195" w:rsidRPr="00B25962">
        <w:rPr>
          <w:rFonts w:ascii="Times New Roman" w:hAnsi="Times New Roman" w:cs="Times New Roman"/>
        </w:rPr>
        <w:t>binnen de toezichthouder</w:t>
      </w:r>
      <w:r w:rsidR="00DC6843" w:rsidRPr="00B25962">
        <w:rPr>
          <w:rFonts w:ascii="Times New Roman" w:hAnsi="Times New Roman" w:cs="Times New Roman"/>
        </w:rPr>
        <w:t xml:space="preserve">, </w:t>
      </w:r>
      <w:r w:rsidR="001A1C7D" w:rsidRPr="00B25962">
        <w:rPr>
          <w:rFonts w:ascii="Times New Roman" w:hAnsi="Times New Roman" w:cs="Times New Roman"/>
        </w:rPr>
        <w:t xml:space="preserve">hierdoor </w:t>
      </w:r>
      <w:r w:rsidRPr="00B25962">
        <w:rPr>
          <w:rFonts w:ascii="Times New Roman" w:hAnsi="Times New Roman" w:cs="Times New Roman"/>
        </w:rPr>
        <w:t xml:space="preserve">onvoldoende </w:t>
      </w:r>
      <w:r w:rsidR="00791077" w:rsidRPr="00B25962">
        <w:rPr>
          <w:rFonts w:ascii="Times New Roman" w:hAnsi="Times New Roman" w:cs="Times New Roman"/>
        </w:rPr>
        <w:t xml:space="preserve">tegenwicht. </w:t>
      </w:r>
      <w:r w:rsidR="00D322C4" w:rsidRPr="00B25962">
        <w:rPr>
          <w:rFonts w:ascii="Times New Roman" w:hAnsi="Times New Roman" w:cs="Times New Roman"/>
        </w:rPr>
        <w:t xml:space="preserve">Hij </w:t>
      </w:r>
      <w:r w:rsidR="00791077" w:rsidRPr="00B25962">
        <w:rPr>
          <w:rFonts w:ascii="Times New Roman" w:hAnsi="Times New Roman" w:cs="Times New Roman"/>
        </w:rPr>
        <w:t>voer</w:t>
      </w:r>
      <w:r w:rsidR="008329DF" w:rsidRPr="00B25962">
        <w:rPr>
          <w:rFonts w:ascii="Times New Roman" w:hAnsi="Times New Roman" w:cs="Times New Roman"/>
        </w:rPr>
        <w:t>t</w:t>
      </w:r>
      <w:r w:rsidR="00791077" w:rsidRPr="00B25962">
        <w:rPr>
          <w:rFonts w:ascii="Times New Roman" w:hAnsi="Times New Roman" w:cs="Times New Roman"/>
        </w:rPr>
        <w:t xml:space="preserve"> wel een </w:t>
      </w:r>
      <w:r w:rsidR="00483821" w:rsidRPr="00B25962">
        <w:rPr>
          <w:rFonts w:ascii="Times New Roman" w:hAnsi="Times New Roman" w:cs="Times New Roman"/>
        </w:rPr>
        <w:t xml:space="preserve">juridische </w:t>
      </w:r>
      <w:r w:rsidR="00791077" w:rsidRPr="00B25962">
        <w:rPr>
          <w:rFonts w:ascii="Times New Roman" w:hAnsi="Times New Roman" w:cs="Times New Roman"/>
          <w:i/>
          <w:iCs/>
        </w:rPr>
        <w:t xml:space="preserve">check </w:t>
      </w:r>
      <w:r w:rsidR="00791077" w:rsidRPr="00B25962">
        <w:rPr>
          <w:rFonts w:ascii="Times New Roman" w:hAnsi="Times New Roman" w:cs="Times New Roman"/>
        </w:rPr>
        <w:t>uit, maar streef</w:t>
      </w:r>
      <w:r w:rsidR="008329DF" w:rsidRPr="00B25962">
        <w:rPr>
          <w:rFonts w:ascii="Times New Roman" w:hAnsi="Times New Roman" w:cs="Times New Roman"/>
        </w:rPr>
        <w:t xml:space="preserve">t </w:t>
      </w:r>
      <w:r w:rsidR="00791077" w:rsidRPr="00B25962">
        <w:rPr>
          <w:rFonts w:ascii="Times New Roman" w:hAnsi="Times New Roman" w:cs="Times New Roman"/>
        </w:rPr>
        <w:t xml:space="preserve">onvoldoende naar </w:t>
      </w:r>
      <w:proofErr w:type="spellStart"/>
      <w:r w:rsidR="00791077" w:rsidRPr="00B25962">
        <w:rPr>
          <w:rFonts w:ascii="Times New Roman" w:hAnsi="Times New Roman" w:cs="Times New Roman"/>
          <w:i/>
          <w:iCs/>
        </w:rPr>
        <w:t>balance</w:t>
      </w:r>
      <w:proofErr w:type="spellEnd"/>
      <w:r w:rsidR="00791077" w:rsidRPr="00B25962">
        <w:rPr>
          <w:rFonts w:ascii="Times New Roman" w:hAnsi="Times New Roman" w:cs="Times New Roman"/>
        </w:rPr>
        <w:t xml:space="preserve">. </w:t>
      </w:r>
    </w:p>
    <w:p w14:paraId="0EFD4850" w14:textId="77777777" w:rsidR="004C7BEE" w:rsidRPr="00B25962" w:rsidRDefault="004C7BEE" w:rsidP="00B25962">
      <w:pPr>
        <w:jc w:val="both"/>
        <w:rPr>
          <w:rFonts w:ascii="Times New Roman" w:hAnsi="Times New Roman" w:cs="Times New Roman"/>
        </w:rPr>
      </w:pPr>
    </w:p>
    <w:p w14:paraId="109C2839" w14:textId="48D49550" w:rsidR="005B6203" w:rsidRPr="00B25962" w:rsidRDefault="009212B7"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Naar een r</w:t>
      </w:r>
      <w:r w:rsidR="005B6203" w:rsidRPr="00B25962">
        <w:rPr>
          <w:rFonts w:ascii="Times New Roman" w:hAnsi="Times New Roman" w:cs="Times New Roman"/>
          <w:i/>
          <w:iCs/>
        </w:rPr>
        <w:t>ijkere belangenafweging</w:t>
      </w:r>
    </w:p>
    <w:p w14:paraId="02145F66" w14:textId="77777777" w:rsidR="00B25962" w:rsidRDefault="00B25962" w:rsidP="00B25962">
      <w:pPr>
        <w:jc w:val="both"/>
        <w:rPr>
          <w:rFonts w:ascii="Times New Roman" w:hAnsi="Times New Roman" w:cs="Times New Roman"/>
        </w:rPr>
      </w:pPr>
    </w:p>
    <w:p w14:paraId="0CB83A4A" w14:textId="39A1750E" w:rsidR="007B1EF5" w:rsidRPr="00B25962" w:rsidRDefault="005B6203" w:rsidP="00B25962">
      <w:pPr>
        <w:jc w:val="both"/>
        <w:rPr>
          <w:rFonts w:ascii="Times New Roman" w:hAnsi="Times New Roman" w:cs="Times New Roman"/>
        </w:rPr>
      </w:pPr>
      <w:r w:rsidRPr="00B25962">
        <w:rPr>
          <w:rFonts w:ascii="Times New Roman" w:hAnsi="Times New Roman" w:cs="Times New Roman"/>
        </w:rPr>
        <w:t xml:space="preserve">Ik herhaal </w:t>
      </w:r>
      <w:r w:rsidR="008329DF" w:rsidRPr="00B25962">
        <w:rPr>
          <w:rFonts w:ascii="Times New Roman" w:hAnsi="Times New Roman" w:cs="Times New Roman"/>
        </w:rPr>
        <w:t xml:space="preserve">hier </w:t>
      </w:r>
      <w:r w:rsidRPr="00B25962">
        <w:rPr>
          <w:rFonts w:ascii="Times New Roman" w:hAnsi="Times New Roman" w:cs="Times New Roman"/>
        </w:rPr>
        <w:t xml:space="preserve">dan ook </w:t>
      </w:r>
      <w:r w:rsidR="008329DF" w:rsidRPr="00B25962">
        <w:rPr>
          <w:rFonts w:ascii="Times New Roman" w:hAnsi="Times New Roman" w:cs="Times New Roman"/>
        </w:rPr>
        <w:t xml:space="preserve">mijn </w:t>
      </w:r>
      <w:r w:rsidRPr="00B25962">
        <w:rPr>
          <w:rFonts w:ascii="Times New Roman" w:hAnsi="Times New Roman" w:cs="Times New Roman"/>
        </w:rPr>
        <w:t xml:space="preserve">pleidooi </w:t>
      </w:r>
      <w:r w:rsidR="007F7854" w:rsidRPr="00B25962">
        <w:rPr>
          <w:rFonts w:ascii="Times New Roman" w:hAnsi="Times New Roman" w:cs="Times New Roman"/>
        </w:rPr>
        <w:t xml:space="preserve">voor meer transparantie over de belangenafweging bij hoge boetes voor ernstige overtredingen, door een </w:t>
      </w:r>
      <w:r w:rsidRPr="00B25962">
        <w:rPr>
          <w:rFonts w:ascii="Times New Roman" w:hAnsi="Times New Roman" w:cs="Times New Roman"/>
        </w:rPr>
        <w:t xml:space="preserve">inhoudelijke </w:t>
      </w:r>
      <w:r w:rsidR="007F7854" w:rsidRPr="00B25962">
        <w:rPr>
          <w:rFonts w:ascii="Times New Roman" w:hAnsi="Times New Roman" w:cs="Times New Roman"/>
        </w:rPr>
        <w:t xml:space="preserve">verrijking van de </w:t>
      </w:r>
      <w:r w:rsidR="007F7854" w:rsidRPr="00B25962">
        <w:rPr>
          <w:rFonts w:ascii="Times New Roman" w:hAnsi="Times New Roman" w:cs="Times New Roman"/>
        </w:rPr>
        <w:lastRenderedPageBreak/>
        <w:t>belangenafweging.</w:t>
      </w:r>
      <w:r w:rsidR="00262116" w:rsidRPr="00B25962">
        <w:rPr>
          <w:rStyle w:val="FootnoteReference"/>
          <w:rFonts w:ascii="Times New Roman" w:hAnsi="Times New Roman" w:cs="Times New Roman"/>
        </w:rPr>
        <w:footnoteReference w:id="30"/>
      </w:r>
      <w:r w:rsidRPr="00B25962">
        <w:rPr>
          <w:rFonts w:ascii="Times New Roman" w:hAnsi="Times New Roman" w:cs="Times New Roman"/>
        </w:rPr>
        <w:t xml:space="preserve"> </w:t>
      </w:r>
      <w:r w:rsidR="00034A61" w:rsidRPr="00B25962">
        <w:rPr>
          <w:rFonts w:ascii="Times New Roman" w:hAnsi="Times New Roman" w:cs="Times New Roman"/>
        </w:rPr>
        <w:t>Dat wil zegge</w:t>
      </w:r>
      <w:r w:rsidR="008329DF" w:rsidRPr="00B25962">
        <w:rPr>
          <w:rFonts w:ascii="Times New Roman" w:hAnsi="Times New Roman" w:cs="Times New Roman"/>
        </w:rPr>
        <w:t xml:space="preserve">n, </w:t>
      </w:r>
      <w:r w:rsidR="004C7BEE" w:rsidRPr="00B25962">
        <w:rPr>
          <w:rFonts w:ascii="Times New Roman" w:hAnsi="Times New Roman" w:cs="Times New Roman"/>
        </w:rPr>
        <w:t xml:space="preserve">dat nadrukkelijker wordt toegelicht </w:t>
      </w:r>
      <w:r w:rsidR="008329DF" w:rsidRPr="00B25962">
        <w:rPr>
          <w:rFonts w:ascii="Times New Roman" w:hAnsi="Times New Roman" w:cs="Times New Roman"/>
        </w:rPr>
        <w:t xml:space="preserve">waarom </w:t>
      </w:r>
      <w:r w:rsidRPr="00B25962">
        <w:rPr>
          <w:rFonts w:ascii="Times New Roman" w:hAnsi="Times New Roman" w:cs="Times New Roman"/>
        </w:rPr>
        <w:t xml:space="preserve">het opleggen van een boete in dit </w:t>
      </w:r>
      <w:r w:rsidR="0084505A" w:rsidRPr="00B25962">
        <w:rPr>
          <w:rFonts w:ascii="Times New Roman" w:hAnsi="Times New Roman" w:cs="Times New Roman"/>
        </w:rPr>
        <w:t xml:space="preserve">concrete </w:t>
      </w:r>
      <w:r w:rsidRPr="00B25962">
        <w:rPr>
          <w:rFonts w:ascii="Times New Roman" w:hAnsi="Times New Roman" w:cs="Times New Roman"/>
        </w:rPr>
        <w:t>geval</w:t>
      </w:r>
      <w:r w:rsidR="00262116" w:rsidRPr="00B25962">
        <w:rPr>
          <w:rFonts w:ascii="Times New Roman" w:hAnsi="Times New Roman" w:cs="Times New Roman"/>
        </w:rPr>
        <w:t xml:space="preserve"> </w:t>
      </w:r>
      <w:r w:rsidR="00371983" w:rsidRPr="00B25962">
        <w:rPr>
          <w:rFonts w:ascii="Times New Roman" w:hAnsi="Times New Roman" w:cs="Times New Roman"/>
        </w:rPr>
        <w:t>passend</w:t>
      </w:r>
      <w:r w:rsidR="00262116" w:rsidRPr="00B25962">
        <w:rPr>
          <w:rFonts w:ascii="Times New Roman" w:hAnsi="Times New Roman" w:cs="Times New Roman"/>
        </w:rPr>
        <w:t xml:space="preserve"> </w:t>
      </w:r>
      <w:r w:rsidR="008329DF" w:rsidRPr="00B25962">
        <w:rPr>
          <w:rFonts w:ascii="Times New Roman" w:hAnsi="Times New Roman" w:cs="Times New Roman"/>
        </w:rPr>
        <w:t>is.</w:t>
      </w:r>
      <w:r w:rsidRPr="00B25962">
        <w:rPr>
          <w:rFonts w:ascii="Times New Roman" w:hAnsi="Times New Roman" w:cs="Times New Roman"/>
        </w:rPr>
        <w:t xml:space="preserve"> </w:t>
      </w:r>
      <w:r w:rsidR="0084505A" w:rsidRPr="00B25962">
        <w:rPr>
          <w:rFonts w:ascii="Times New Roman" w:hAnsi="Times New Roman" w:cs="Times New Roman"/>
        </w:rPr>
        <w:t xml:space="preserve">Scheltema indachtig: </w:t>
      </w:r>
      <w:r w:rsidR="004C7BEE" w:rsidRPr="00B25962">
        <w:rPr>
          <w:rFonts w:ascii="Times New Roman" w:hAnsi="Times New Roman" w:cs="Times New Roman"/>
        </w:rPr>
        <w:t xml:space="preserve">door toe te lichten </w:t>
      </w:r>
      <w:r w:rsidR="0084505A" w:rsidRPr="00B25962">
        <w:rPr>
          <w:rFonts w:ascii="Times New Roman" w:hAnsi="Times New Roman" w:cs="Times New Roman"/>
        </w:rPr>
        <w:t>i</w:t>
      </w:r>
      <w:r w:rsidRPr="00B25962">
        <w:rPr>
          <w:rFonts w:ascii="Times New Roman" w:hAnsi="Times New Roman" w:cs="Times New Roman"/>
        </w:rPr>
        <w:t xml:space="preserve">n hoeverre </w:t>
      </w:r>
      <w:r w:rsidR="0084505A" w:rsidRPr="00B25962">
        <w:rPr>
          <w:rFonts w:ascii="Times New Roman" w:hAnsi="Times New Roman" w:cs="Times New Roman"/>
        </w:rPr>
        <w:t xml:space="preserve">de voorgenomen boete </w:t>
      </w:r>
      <w:r w:rsidRPr="00B25962">
        <w:rPr>
          <w:rFonts w:ascii="Times New Roman" w:hAnsi="Times New Roman" w:cs="Times New Roman"/>
        </w:rPr>
        <w:t>bij</w:t>
      </w:r>
      <w:r w:rsidR="004C7BEE" w:rsidRPr="00B25962">
        <w:rPr>
          <w:rFonts w:ascii="Times New Roman" w:hAnsi="Times New Roman" w:cs="Times New Roman"/>
        </w:rPr>
        <w:t>draagt</w:t>
      </w:r>
      <w:r w:rsidRPr="00B25962">
        <w:rPr>
          <w:rFonts w:ascii="Times New Roman" w:hAnsi="Times New Roman" w:cs="Times New Roman"/>
        </w:rPr>
        <w:t xml:space="preserve"> aan </w:t>
      </w:r>
      <w:r w:rsidR="00C679B6" w:rsidRPr="00B25962">
        <w:rPr>
          <w:rFonts w:ascii="Times New Roman" w:hAnsi="Times New Roman" w:cs="Times New Roman"/>
        </w:rPr>
        <w:t>het maatschappelijke doel dat aan het desbetreffende voorschrift ten grondslag ligt</w:t>
      </w:r>
      <w:r w:rsidR="004C7BEE" w:rsidRPr="00B25962">
        <w:rPr>
          <w:rFonts w:ascii="Times New Roman" w:hAnsi="Times New Roman" w:cs="Times New Roman"/>
        </w:rPr>
        <w:t xml:space="preserve">. </w:t>
      </w:r>
      <w:r w:rsidR="0084505A" w:rsidRPr="00B25962">
        <w:rPr>
          <w:rFonts w:ascii="Times New Roman" w:hAnsi="Times New Roman" w:cs="Times New Roman"/>
        </w:rPr>
        <w:t xml:space="preserve">En hoe </w:t>
      </w:r>
      <w:r w:rsidR="004C7BEE" w:rsidRPr="00B25962">
        <w:rPr>
          <w:rFonts w:ascii="Times New Roman" w:hAnsi="Times New Roman" w:cs="Times New Roman"/>
        </w:rPr>
        <w:t xml:space="preserve">daarbij rekening </w:t>
      </w:r>
      <w:r w:rsidR="0084505A" w:rsidRPr="00B25962">
        <w:rPr>
          <w:rFonts w:ascii="Times New Roman" w:hAnsi="Times New Roman" w:cs="Times New Roman"/>
        </w:rPr>
        <w:t>is gehouden met de positie en het belang van de overtreder</w:t>
      </w:r>
      <w:r w:rsidR="004C7BEE" w:rsidRPr="00B25962">
        <w:rPr>
          <w:rFonts w:ascii="Times New Roman" w:hAnsi="Times New Roman" w:cs="Times New Roman"/>
        </w:rPr>
        <w:t>.</w:t>
      </w:r>
      <w:r w:rsidR="0084505A" w:rsidRPr="00B25962">
        <w:rPr>
          <w:rFonts w:ascii="Times New Roman" w:hAnsi="Times New Roman" w:cs="Times New Roman"/>
        </w:rPr>
        <w:t xml:space="preserve"> </w:t>
      </w:r>
    </w:p>
    <w:p w14:paraId="5DC0268B" w14:textId="44FFEB22" w:rsidR="002E7A59" w:rsidRPr="00B25962" w:rsidRDefault="007B1EF5" w:rsidP="00B25962">
      <w:pPr>
        <w:ind w:firstLine="360"/>
        <w:jc w:val="both"/>
        <w:rPr>
          <w:rFonts w:ascii="Times New Roman" w:hAnsi="Times New Roman" w:cs="Times New Roman"/>
        </w:rPr>
      </w:pPr>
      <w:r w:rsidRPr="00B25962">
        <w:rPr>
          <w:rFonts w:ascii="Times New Roman" w:hAnsi="Times New Roman" w:cs="Times New Roman"/>
        </w:rPr>
        <w:t>H</w:t>
      </w:r>
      <w:r w:rsidR="005B6203" w:rsidRPr="00B25962">
        <w:rPr>
          <w:rFonts w:ascii="Times New Roman" w:hAnsi="Times New Roman" w:cs="Times New Roman"/>
        </w:rPr>
        <w:t xml:space="preserve">et boetebesluit </w:t>
      </w:r>
      <w:r w:rsidRPr="00B25962">
        <w:rPr>
          <w:rFonts w:ascii="Times New Roman" w:hAnsi="Times New Roman" w:cs="Times New Roman"/>
        </w:rPr>
        <w:t>wordt hierdoor b</w:t>
      </w:r>
      <w:r w:rsidR="005B6203" w:rsidRPr="00B25962">
        <w:rPr>
          <w:rFonts w:ascii="Times New Roman" w:hAnsi="Times New Roman" w:cs="Times New Roman"/>
        </w:rPr>
        <w:t>eter navolgbaar</w:t>
      </w:r>
      <w:r w:rsidR="00034A61" w:rsidRPr="00B25962">
        <w:rPr>
          <w:rFonts w:ascii="Times New Roman" w:hAnsi="Times New Roman" w:cs="Times New Roman"/>
        </w:rPr>
        <w:t xml:space="preserve"> </w:t>
      </w:r>
      <w:r w:rsidR="005B6203" w:rsidRPr="00B25962">
        <w:rPr>
          <w:rFonts w:ascii="Times New Roman" w:hAnsi="Times New Roman" w:cs="Times New Roman"/>
        </w:rPr>
        <w:t>en aanvaardbaar</w:t>
      </w:r>
      <w:r w:rsidR="00034A61" w:rsidRPr="00B25962">
        <w:rPr>
          <w:rFonts w:ascii="Times New Roman" w:hAnsi="Times New Roman" w:cs="Times New Roman"/>
        </w:rPr>
        <w:t xml:space="preserve">, niet alleen </w:t>
      </w:r>
      <w:r w:rsidR="005B6203" w:rsidRPr="00B25962">
        <w:rPr>
          <w:rFonts w:ascii="Times New Roman" w:hAnsi="Times New Roman" w:cs="Times New Roman"/>
        </w:rPr>
        <w:t xml:space="preserve">voor degene aan wie de boete wordt opgelegd </w:t>
      </w:r>
      <w:r w:rsidR="00034A61" w:rsidRPr="00B25962">
        <w:rPr>
          <w:rFonts w:ascii="Times New Roman" w:hAnsi="Times New Roman" w:cs="Times New Roman"/>
        </w:rPr>
        <w:t xml:space="preserve">maar ook voor </w:t>
      </w:r>
      <w:r w:rsidR="005B6203" w:rsidRPr="00B25962">
        <w:rPr>
          <w:rFonts w:ascii="Times New Roman" w:hAnsi="Times New Roman" w:cs="Times New Roman"/>
        </w:rPr>
        <w:t>de onder</w:t>
      </w:r>
      <w:r w:rsidR="0084505A" w:rsidRPr="00B25962">
        <w:rPr>
          <w:rFonts w:ascii="Times New Roman" w:hAnsi="Times New Roman" w:cs="Times New Roman"/>
        </w:rPr>
        <w:t xml:space="preserve"> </w:t>
      </w:r>
      <w:r w:rsidR="005B6203" w:rsidRPr="00B25962">
        <w:rPr>
          <w:rFonts w:ascii="Times New Roman" w:hAnsi="Times New Roman" w:cs="Times New Roman"/>
        </w:rPr>
        <w:t>toezicht</w:t>
      </w:r>
      <w:r w:rsidR="0084505A" w:rsidRPr="00B25962">
        <w:rPr>
          <w:rFonts w:ascii="Times New Roman" w:hAnsi="Times New Roman" w:cs="Times New Roman"/>
        </w:rPr>
        <w:t xml:space="preserve"> </w:t>
      </w:r>
      <w:proofErr w:type="spellStart"/>
      <w:r w:rsidR="005B6203" w:rsidRPr="00B25962">
        <w:rPr>
          <w:rFonts w:ascii="Times New Roman" w:hAnsi="Times New Roman" w:cs="Times New Roman"/>
        </w:rPr>
        <w:t>gestelden</w:t>
      </w:r>
      <w:proofErr w:type="spellEnd"/>
      <w:r w:rsidR="005B6203" w:rsidRPr="00B25962">
        <w:rPr>
          <w:rFonts w:ascii="Times New Roman" w:hAnsi="Times New Roman" w:cs="Times New Roman"/>
        </w:rPr>
        <w:t xml:space="preserve"> in het algemeen.</w:t>
      </w:r>
      <w:r w:rsidRPr="00B25962">
        <w:rPr>
          <w:rFonts w:ascii="Times New Roman" w:hAnsi="Times New Roman" w:cs="Times New Roman"/>
        </w:rPr>
        <w:t xml:space="preserve"> E</w:t>
      </w:r>
      <w:r w:rsidR="004610F0" w:rsidRPr="00B25962">
        <w:rPr>
          <w:rFonts w:ascii="Times New Roman" w:hAnsi="Times New Roman" w:cs="Times New Roman"/>
        </w:rPr>
        <w:t xml:space="preserve">en responsieve boetefunctionaris </w:t>
      </w:r>
      <w:r w:rsidRPr="00B25962">
        <w:rPr>
          <w:rFonts w:ascii="Times New Roman" w:hAnsi="Times New Roman" w:cs="Times New Roman"/>
        </w:rPr>
        <w:t xml:space="preserve">draagt zo </w:t>
      </w:r>
      <w:r w:rsidR="004610F0" w:rsidRPr="00B25962">
        <w:rPr>
          <w:rFonts w:ascii="Times New Roman" w:hAnsi="Times New Roman" w:cs="Times New Roman"/>
        </w:rPr>
        <w:t xml:space="preserve">een steentje bij aan </w:t>
      </w:r>
      <w:r w:rsidRPr="00B25962">
        <w:rPr>
          <w:rFonts w:ascii="Times New Roman" w:hAnsi="Times New Roman" w:cs="Times New Roman"/>
        </w:rPr>
        <w:t>de legitimiteit en e</w:t>
      </w:r>
      <w:r w:rsidR="004610F0" w:rsidRPr="00B25962">
        <w:rPr>
          <w:rFonts w:ascii="Times New Roman" w:hAnsi="Times New Roman" w:cs="Times New Roman"/>
        </w:rPr>
        <w:t>ffecti</w:t>
      </w:r>
      <w:r w:rsidRPr="00B25962">
        <w:rPr>
          <w:rFonts w:ascii="Times New Roman" w:hAnsi="Times New Roman" w:cs="Times New Roman"/>
        </w:rPr>
        <w:t>viteit van het</w:t>
      </w:r>
      <w:r w:rsidR="004610F0" w:rsidRPr="00B25962">
        <w:rPr>
          <w:rFonts w:ascii="Times New Roman" w:hAnsi="Times New Roman" w:cs="Times New Roman"/>
        </w:rPr>
        <w:t xml:space="preserve"> financieel toezicht.</w:t>
      </w:r>
      <w:r w:rsidRPr="00B25962">
        <w:rPr>
          <w:rStyle w:val="FootnoteReference"/>
          <w:rFonts w:ascii="Times New Roman" w:hAnsi="Times New Roman" w:cs="Times New Roman"/>
        </w:rPr>
        <w:footnoteReference w:id="31"/>
      </w:r>
      <w:r w:rsidRPr="00B25962">
        <w:rPr>
          <w:rFonts w:ascii="Times New Roman" w:hAnsi="Times New Roman" w:cs="Times New Roman"/>
        </w:rPr>
        <w:t xml:space="preserve"> </w:t>
      </w:r>
      <w:r w:rsidR="00E82354" w:rsidRPr="00B25962">
        <w:rPr>
          <w:rFonts w:ascii="Times New Roman" w:hAnsi="Times New Roman" w:cs="Times New Roman"/>
        </w:rPr>
        <w:t xml:space="preserve">Zo </w:t>
      </w:r>
      <w:r w:rsidR="002E7A59" w:rsidRPr="00B25962">
        <w:rPr>
          <w:rFonts w:ascii="Times New Roman" w:hAnsi="Times New Roman" w:cs="Times New Roman"/>
        </w:rPr>
        <w:t xml:space="preserve">waarschuwde </w:t>
      </w:r>
      <w:r w:rsidR="00E82354" w:rsidRPr="00B25962">
        <w:rPr>
          <w:rFonts w:ascii="Times New Roman" w:hAnsi="Times New Roman" w:cs="Times New Roman"/>
        </w:rPr>
        <w:t xml:space="preserve">de WRR </w:t>
      </w:r>
      <w:r w:rsidR="002E7A59" w:rsidRPr="00B25962">
        <w:rPr>
          <w:rFonts w:ascii="Times New Roman" w:hAnsi="Times New Roman" w:cs="Times New Roman"/>
        </w:rPr>
        <w:t>dat toezichthouders zich niet moeten blindstaren op niet-naleving van regels, maar verder moeten kijken om hun beleidsdoelen te realiseren.</w:t>
      </w:r>
      <w:r w:rsidR="00F27DBE" w:rsidRPr="00B25962">
        <w:rPr>
          <w:rStyle w:val="FootnoteReference"/>
          <w:rFonts w:ascii="Times New Roman" w:hAnsi="Times New Roman" w:cs="Times New Roman"/>
        </w:rPr>
        <w:footnoteReference w:id="32"/>
      </w:r>
      <w:r w:rsidR="002E7A59" w:rsidRPr="00B25962">
        <w:rPr>
          <w:rFonts w:ascii="Times New Roman" w:hAnsi="Times New Roman" w:cs="Times New Roman"/>
        </w:rPr>
        <w:t xml:space="preserve"> Dat wil zeggen dat zij zich moeten bezinnen op passende interventies en handhaving</w:t>
      </w:r>
      <w:r w:rsidR="0040625E" w:rsidRPr="00B25962">
        <w:rPr>
          <w:rFonts w:ascii="Times New Roman" w:hAnsi="Times New Roman" w:cs="Times New Roman"/>
        </w:rPr>
        <w:t>s</w:t>
      </w:r>
      <w:r w:rsidR="002E7A59" w:rsidRPr="00B25962">
        <w:rPr>
          <w:rFonts w:ascii="Times New Roman" w:hAnsi="Times New Roman" w:cs="Times New Roman"/>
        </w:rPr>
        <w:t xml:space="preserve">strategieën. Het beter uitleggen </w:t>
      </w:r>
      <w:r w:rsidR="002D7702" w:rsidRPr="00B25962">
        <w:rPr>
          <w:rFonts w:ascii="Times New Roman" w:hAnsi="Times New Roman" w:cs="Times New Roman"/>
        </w:rPr>
        <w:t xml:space="preserve">welke </w:t>
      </w:r>
      <w:r w:rsidR="00A50CA8" w:rsidRPr="00B25962">
        <w:rPr>
          <w:rFonts w:ascii="Times New Roman" w:hAnsi="Times New Roman" w:cs="Times New Roman"/>
        </w:rPr>
        <w:t xml:space="preserve">publieke </w:t>
      </w:r>
      <w:r w:rsidR="002D7702" w:rsidRPr="00B25962">
        <w:rPr>
          <w:rFonts w:ascii="Times New Roman" w:hAnsi="Times New Roman" w:cs="Times New Roman"/>
        </w:rPr>
        <w:t xml:space="preserve">belangen zijn gediend met het opleggen van een bestuurlijke boete, wat in </w:t>
      </w:r>
      <w:proofErr w:type="spellStart"/>
      <w:r w:rsidR="002D7702" w:rsidRPr="00B25962">
        <w:rPr>
          <w:rFonts w:ascii="Times New Roman" w:hAnsi="Times New Roman" w:cs="Times New Roman"/>
        </w:rPr>
        <w:t>casu</w:t>
      </w:r>
      <w:proofErr w:type="spellEnd"/>
      <w:r w:rsidR="002D7702" w:rsidRPr="00B25962">
        <w:rPr>
          <w:rFonts w:ascii="Times New Roman" w:hAnsi="Times New Roman" w:cs="Times New Roman"/>
        </w:rPr>
        <w:t xml:space="preserve"> de meerwaarde is, </w:t>
      </w:r>
      <w:r w:rsidR="002E7A59" w:rsidRPr="00B25962">
        <w:rPr>
          <w:rFonts w:ascii="Times New Roman" w:hAnsi="Times New Roman" w:cs="Times New Roman"/>
        </w:rPr>
        <w:t>sluit daarbij in mijn ogen goed aan.</w:t>
      </w:r>
      <w:r w:rsidR="00A50CA8" w:rsidRPr="00B25962">
        <w:rPr>
          <w:rFonts w:ascii="Times New Roman" w:hAnsi="Times New Roman" w:cs="Times New Roman"/>
        </w:rPr>
        <w:t xml:space="preserve"> </w:t>
      </w:r>
    </w:p>
    <w:p w14:paraId="3A38A10C" w14:textId="77777777" w:rsidR="004C7BEE" w:rsidRPr="00B25962" w:rsidRDefault="004C7BEE" w:rsidP="00B25962">
      <w:pPr>
        <w:jc w:val="both"/>
        <w:rPr>
          <w:rFonts w:ascii="Times New Roman" w:hAnsi="Times New Roman" w:cs="Times New Roman"/>
        </w:rPr>
      </w:pPr>
    </w:p>
    <w:p w14:paraId="378F7071" w14:textId="0D3E44D3" w:rsidR="00F07C10" w:rsidRPr="00B25962" w:rsidRDefault="00F07C10" w:rsidP="00BE7FBD">
      <w:pPr>
        <w:pStyle w:val="ListParagraph"/>
        <w:numPr>
          <w:ilvl w:val="1"/>
          <w:numId w:val="1"/>
        </w:numPr>
        <w:ind w:left="357" w:hanging="357"/>
        <w:jc w:val="both"/>
        <w:rPr>
          <w:rFonts w:ascii="Times New Roman" w:hAnsi="Times New Roman" w:cs="Times New Roman"/>
          <w:i/>
          <w:iCs/>
        </w:rPr>
      </w:pPr>
      <w:r w:rsidRPr="00B25962">
        <w:rPr>
          <w:rFonts w:ascii="Times New Roman" w:hAnsi="Times New Roman" w:cs="Times New Roman"/>
          <w:i/>
          <w:iCs/>
        </w:rPr>
        <w:t>De opstelling van de rechter als inspiratiebron</w:t>
      </w:r>
    </w:p>
    <w:p w14:paraId="28EF34EB" w14:textId="77777777" w:rsidR="00B25962" w:rsidRDefault="00B25962" w:rsidP="00B25962">
      <w:pPr>
        <w:jc w:val="both"/>
        <w:rPr>
          <w:rFonts w:ascii="Times New Roman" w:hAnsi="Times New Roman" w:cs="Times New Roman"/>
        </w:rPr>
      </w:pPr>
    </w:p>
    <w:p w14:paraId="7E77D6B5" w14:textId="629C8034" w:rsidR="0084505A" w:rsidRPr="00B25962" w:rsidRDefault="004610F0" w:rsidP="00B25962">
      <w:pPr>
        <w:jc w:val="both"/>
        <w:rPr>
          <w:rFonts w:ascii="Times New Roman" w:hAnsi="Times New Roman" w:cs="Times New Roman"/>
        </w:rPr>
      </w:pPr>
      <w:r w:rsidRPr="00B25962">
        <w:rPr>
          <w:rFonts w:ascii="Times New Roman" w:hAnsi="Times New Roman" w:cs="Times New Roman"/>
        </w:rPr>
        <w:t xml:space="preserve">De boetefunctionaris </w:t>
      </w:r>
      <w:r w:rsidR="00F07C10" w:rsidRPr="00B25962">
        <w:rPr>
          <w:rFonts w:ascii="Times New Roman" w:hAnsi="Times New Roman" w:cs="Times New Roman"/>
        </w:rPr>
        <w:t xml:space="preserve">kan </w:t>
      </w:r>
      <w:r w:rsidRPr="00B25962">
        <w:rPr>
          <w:rFonts w:ascii="Times New Roman" w:hAnsi="Times New Roman" w:cs="Times New Roman"/>
        </w:rPr>
        <w:t xml:space="preserve">hiertoe inspiratie ontlenen aan de bestuursrechter die zich, </w:t>
      </w:r>
      <w:r w:rsidR="008D7FD2" w:rsidRPr="00B25962">
        <w:rPr>
          <w:rFonts w:ascii="Times New Roman" w:hAnsi="Times New Roman" w:cs="Times New Roman"/>
        </w:rPr>
        <w:t xml:space="preserve">tegen de achtergrond </w:t>
      </w:r>
      <w:r w:rsidRPr="00B25962">
        <w:rPr>
          <w:rFonts w:ascii="Times New Roman" w:hAnsi="Times New Roman" w:cs="Times New Roman"/>
        </w:rPr>
        <w:t xml:space="preserve">van eerdergenoemde maatschappelijke ontwikkelingen, kritischer opstelt bij de toetsing van bestuursbesluiten. </w:t>
      </w:r>
    </w:p>
    <w:p w14:paraId="08F9380D" w14:textId="6CDF3880" w:rsidR="004610F0" w:rsidRPr="00B25962" w:rsidRDefault="004610F0" w:rsidP="00B25962">
      <w:pPr>
        <w:ind w:firstLine="708"/>
        <w:jc w:val="both"/>
        <w:rPr>
          <w:rFonts w:ascii="Times New Roman" w:hAnsi="Times New Roman" w:cs="Times New Roman"/>
        </w:rPr>
      </w:pPr>
      <w:r w:rsidRPr="00B25962">
        <w:rPr>
          <w:rFonts w:ascii="Times New Roman" w:hAnsi="Times New Roman" w:cs="Times New Roman"/>
        </w:rPr>
        <w:t xml:space="preserve">Zo </w:t>
      </w:r>
      <w:r w:rsidR="005B2E3B" w:rsidRPr="00B25962">
        <w:rPr>
          <w:rFonts w:ascii="Times New Roman" w:hAnsi="Times New Roman" w:cs="Times New Roman"/>
        </w:rPr>
        <w:t xml:space="preserve">is </w:t>
      </w:r>
      <w:r w:rsidRPr="00B25962">
        <w:rPr>
          <w:rFonts w:ascii="Times New Roman" w:hAnsi="Times New Roman" w:cs="Times New Roman"/>
        </w:rPr>
        <w:t xml:space="preserve">de bestuursrechter </w:t>
      </w:r>
      <w:r w:rsidR="005B2E3B" w:rsidRPr="00B25962">
        <w:rPr>
          <w:rFonts w:ascii="Times New Roman" w:hAnsi="Times New Roman" w:cs="Times New Roman"/>
        </w:rPr>
        <w:t xml:space="preserve">tegenwoordig geneigd </w:t>
      </w:r>
      <w:r w:rsidRPr="00B25962">
        <w:rPr>
          <w:rFonts w:ascii="Times New Roman" w:hAnsi="Times New Roman" w:cs="Times New Roman"/>
        </w:rPr>
        <w:t xml:space="preserve">overheidsbesluiten indringender </w:t>
      </w:r>
      <w:r w:rsidR="005B2E3B" w:rsidRPr="00B25962">
        <w:rPr>
          <w:rFonts w:ascii="Times New Roman" w:hAnsi="Times New Roman" w:cs="Times New Roman"/>
        </w:rPr>
        <w:t xml:space="preserve">te toetsen </w:t>
      </w:r>
      <w:r w:rsidRPr="00B25962">
        <w:rPr>
          <w:rFonts w:ascii="Times New Roman" w:hAnsi="Times New Roman" w:cs="Times New Roman"/>
        </w:rPr>
        <w:t>aan het evenredigheidsbeginsel.</w:t>
      </w:r>
      <w:r w:rsidRPr="00B25962">
        <w:rPr>
          <w:rStyle w:val="FootnoteReference"/>
          <w:rFonts w:ascii="Times New Roman" w:hAnsi="Times New Roman" w:cs="Times New Roman"/>
        </w:rPr>
        <w:footnoteReference w:id="33"/>
      </w:r>
      <w:r w:rsidRPr="00B25962">
        <w:rPr>
          <w:rFonts w:ascii="Times New Roman" w:hAnsi="Times New Roman" w:cs="Times New Roman"/>
        </w:rPr>
        <w:t xml:space="preserve"> </w:t>
      </w:r>
      <w:r w:rsidR="005B2E3B" w:rsidRPr="00B25962">
        <w:rPr>
          <w:rFonts w:ascii="Times New Roman" w:hAnsi="Times New Roman" w:cs="Times New Roman"/>
        </w:rPr>
        <w:t>D</w:t>
      </w:r>
      <w:r w:rsidRPr="00B25962">
        <w:rPr>
          <w:rFonts w:ascii="Times New Roman" w:hAnsi="Times New Roman" w:cs="Times New Roman"/>
        </w:rPr>
        <w:t xml:space="preserve">aarbij </w:t>
      </w:r>
      <w:r w:rsidR="005B2E3B" w:rsidRPr="00B25962">
        <w:rPr>
          <w:rFonts w:ascii="Times New Roman" w:hAnsi="Times New Roman" w:cs="Times New Roman"/>
        </w:rPr>
        <w:t xml:space="preserve">spelen, kort gezegd, </w:t>
      </w:r>
      <w:r w:rsidRPr="00B25962">
        <w:rPr>
          <w:rFonts w:ascii="Times New Roman" w:hAnsi="Times New Roman" w:cs="Times New Roman"/>
        </w:rPr>
        <w:t xml:space="preserve">de geschiktheid, noodzaak en evenwichtigheid van het besluit een rol. </w:t>
      </w:r>
      <w:r w:rsidR="005B2E3B" w:rsidRPr="00B25962">
        <w:rPr>
          <w:rFonts w:ascii="Times New Roman" w:hAnsi="Times New Roman" w:cs="Times New Roman"/>
        </w:rPr>
        <w:t xml:space="preserve">Hoe indringend de rechter daaraan toetst, hangt evenwel af van de omstandigheden van het geval. </w:t>
      </w:r>
      <w:r w:rsidR="001A1C7D" w:rsidRPr="00B25962">
        <w:rPr>
          <w:rFonts w:ascii="Times New Roman" w:hAnsi="Times New Roman" w:cs="Times New Roman"/>
        </w:rPr>
        <w:t xml:space="preserve">Waaronder </w:t>
      </w:r>
      <w:r w:rsidR="005B2E3B" w:rsidRPr="00B25962">
        <w:rPr>
          <w:rFonts w:ascii="Times New Roman" w:hAnsi="Times New Roman" w:cs="Times New Roman"/>
        </w:rPr>
        <w:t xml:space="preserve">de aard en het gewicht van de bij het besluit betrokken belangen, de </w:t>
      </w:r>
      <w:proofErr w:type="spellStart"/>
      <w:r w:rsidR="005B2E3B" w:rsidRPr="00B25962">
        <w:rPr>
          <w:rFonts w:ascii="Times New Roman" w:hAnsi="Times New Roman" w:cs="Times New Roman"/>
        </w:rPr>
        <w:t>ingrijpendheid</w:t>
      </w:r>
      <w:proofErr w:type="spellEnd"/>
      <w:r w:rsidR="005B2E3B" w:rsidRPr="00B25962">
        <w:rPr>
          <w:rFonts w:ascii="Times New Roman" w:hAnsi="Times New Roman" w:cs="Times New Roman"/>
        </w:rPr>
        <w:t xml:space="preserve"> van het besluit en de mate waarin fundamentele rechten worden aangetast.</w:t>
      </w:r>
    </w:p>
    <w:p w14:paraId="368DBAAA" w14:textId="6CA15C0E" w:rsidR="00E16FE2" w:rsidRPr="00B25962" w:rsidRDefault="005B2E3B" w:rsidP="00B25962">
      <w:pPr>
        <w:ind w:firstLine="708"/>
        <w:jc w:val="both"/>
        <w:rPr>
          <w:rFonts w:ascii="Times New Roman" w:hAnsi="Times New Roman" w:cs="Times New Roman"/>
          <w:color w:val="000000" w:themeColor="text1"/>
        </w:rPr>
      </w:pPr>
      <w:r w:rsidRPr="00B25962">
        <w:rPr>
          <w:rFonts w:ascii="Times New Roman" w:hAnsi="Times New Roman" w:cs="Times New Roman"/>
        </w:rPr>
        <w:t>Nu zou gesteld kunnen worden dat deze jurisprudentie alleen betrekking heeft op discretionaire, niet-bestraffende bestuursbesluiten en dus niet op boetebesluiten.</w:t>
      </w:r>
      <w:r w:rsidRPr="00B25962">
        <w:rPr>
          <w:rStyle w:val="FootnoteReference"/>
          <w:rFonts w:ascii="Times New Roman" w:hAnsi="Times New Roman" w:cs="Times New Roman"/>
        </w:rPr>
        <w:footnoteReference w:id="34"/>
      </w:r>
      <w:r w:rsidRPr="00B25962">
        <w:rPr>
          <w:rFonts w:ascii="Times New Roman" w:hAnsi="Times New Roman" w:cs="Times New Roman"/>
        </w:rPr>
        <w:t xml:space="preserve"> Ik meen </w:t>
      </w:r>
      <w:r w:rsidR="0052645C" w:rsidRPr="00B25962">
        <w:rPr>
          <w:rFonts w:ascii="Times New Roman" w:hAnsi="Times New Roman" w:cs="Times New Roman"/>
        </w:rPr>
        <w:t xml:space="preserve">echter </w:t>
      </w:r>
      <w:r w:rsidRPr="00B25962">
        <w:rPr>
          <w:rFonts w:ascii="Times New Roman" w:hAnsi="Times New Roman" w:cs="Times New Roman"/>
        </w:rPr>
        <w:t xml:space="preserve">dat deze lijn zou </w:t>
      </w:r>
      <w:r w:rsidR="001A1C7D" w:rsidRPr="00B25962">
        <w:rPr>
          <w:rFonts w:ascii="Times New Roman" w:hAnsi="Times New Roman" w:cs="Times New Roman"/>
        </w:rPr>
        <w:t>kunn</w:t>
      </w:r>
      <w:r w:rsidRPr="00B25962">
        <w:rPr>
          <w:rFonts w:ascii="Times New Roman" w:hAnsi="Times New Roman" w:cs="Times New Roman"/>
        </w:rPr>
        <w:t xml:space="preserve">en worden doorgetrokken naar boetebesluiten. Ik </w:t>
      </w:r>
      <w:r w:rsidR="000552C5" w:rsidRPr="00B25962">
        <w:rPr>
          <w:rFonts w:ascii="Times New Roman" w:hAnsi="Times New Roman" w:cs="Times New Roman"/>
        </w:rPr>
        <w:t xml:space="preserve">doel daarbij </w:t>
      </w:r>
      <w:r w:rsidRPr="00B25962">
        <w:rPr>
          <w:rFonts w:ascii="Times New Roman" w:hAnsi="Times New Roman" w:cs="Times New Roman"/>
        </w:rPr>
        <w:t>op het besluit als zodanig, eerdergenoemde eerste trap. De tweede trap, de hoogte van de boete, wordt immers als kritisch getoetst</w:t>
      </w:r>
      <w:r w:rsidR="000552C5" w:rsidRPr="00B25962">
        <w:rPr>
          <w:rFonts w:ascii="Times New Roman" w:hAnsi="Times New Roman" w:cs="Times New Roman"/>
        </w:rPr>
        <w:t xml:space="preserve"> door de rechter</w:t>
      </w:r>
      <w:r w:rsidR="009A63F0" w:rsidRPr="00B25962">
        <w:rPr>
          <w:rFonts w:ascii="Times New Roman" w:hAnsi="Times New Roman" w:cs="Times New Roman"/>
        </w:rPr>
        <w:t>, w</w:t>
      </w:r>
      <w:r w:rsidR="000552C5" w:rsidRPr="00B25962">
        <w:rPr>
          <w:rFonts w:ascii="Times New Roman" w:hAnsi="Times New Roman" w:cs="Times New Roman"/>
        </w:rPr>
        <w:t xml:space="preserve">aarop de boetefunctionaris </w:t>
      </w:r>
      <w:r w:rsidR="0052645C" w:rsidRPr="00B25962">
        <w:rPr>
          <w:rFonts w:ascii="Times New Roman" w:hAnsi="Times New Roman" w:cs="Times New Roman"/>
        </w:rPr>
        <w:t>dan weer a</w:t>
      </w:r>
      <w:r w:rsidR="000552C5" w:rsidRPr="00B25962">
        <w:rPr>
          <w:rFonts w:ascii="Times New Roman" w:hAnsi="Times New Roman" w:cs="Times New Roman"/>
        </w:rPr>
        <w:t>nticipeert getuige de onderbouwing van de boetebesluiten. Voor het doortrekken van deze lijn is in mijn ogen alle aanleiding.</w:t>
      </w:r>
      <w:r w:rsidR="00266ADF" w:rsidRPr="00B25962">
        <w:rPr>
          <w:rStyle w:val="FootnoteReference"/>
          <w:rFonts w:ascii="Times New Roman" w:hAnsi="Times New Roman" w:cs="Times New Roman"/>
        </w:rPr>
        <w:footnoteReference w:id="35"/>
      </w:r>
      <w:r w:rsidR="000552C5" w:rsidRPr="00B25962">
        <w:rPr>
          <w:rFonts w:ascii="Times New Roman" w:hAnsi="Times New Roman" w:cs="Times New Roman"/>
        </w:rPr>
        <w:t xml:space="preserve"> Immers, in het kader van het financieel toezicht</w:t>
      </w:r>
      <w:r w:rsidR="00A71FD3" w:rsidRPr="00B25962">
        <w:rPr>
          <w:rFonts w:ascii="Times New Roman" w:hAnsi="Times New Roman" w:cs="Times New Roman"/>
        </w:rPr>
        <w:t xml:space="preserve"> kunnen</w:t>
      </w:r>
      <w:r w:rsidR="000552C5" w:rsidRPr="00B25962">
        <w:rPr>
          <w:rFonts w:ascii="Times New Roman" w:hAnsi="Times New Roman" w:cs="Times New Roman"/>
        </w:rPr>
        <w:t xml:space="preserve"> </w:t>
      </w:r>
      <w:r w:rsidR="00407B9B" w:rsidRPr="00B25962">
        <w:rPr>
          <w:rFonts w:ascii="Times New Roman" w:hAnsi="Times New Roman" w:cs="Times New Roman"/>
        </w:rPr>
        <w:t xml:space="preserve">in mijn ogen </w:t>
      </w:r>
      <w:r w:rsidR="000552C5" w:rsidRPr="00B25962">
        <w:rPr>
          <w:rFonts w:ascii="Times New Roman" w:hAnsi="Times New Roman" w:cs="Times New Roman"/>
        </w:rPr>
        <w:t>relatief gemakkelijk</w:t>
      </w:r>
      <w:r w:rsidR="00A71FD3" w:rsidRPr="00B25962">
        <w:rPr>
          <w:rFonts w:ascii="Times New Roman" w:hAnsi="Times New Roman" w:cs="Times New Roman"/>
        </w:rPr>
        <w:t xml:space="preserve"> </w:t>
      </w:r>
      <w:r w:rsidR="001A1C7D" w:rsidRPr="00B25962">
        <w:rPr>
          <w:rFonts w:ascii="Times New Roman" w:hAnsi="Times New Roman" w:cs="Times New Roman"/>
        </w:rPr>
        <w:t xml:space="preserve">hoge boetes </w:t>
      </w:r>
      <w:r w:rsidR="00A71FD3" w:rsidRPr="00B25962">
        <w:rPr>
          <w:rFonts w:ascii="Times New Roman" w:hAnsi="Times New Roman" w:cs="Times New Roman"/>
        </w:rPr>
        <w:t xml:space="preserve">worden </w:t>
      </w:r>
      <w:r w:rsidR="000552C5" w:rsidRPr="00B25962">
        <w:rPr>
          <w:rFonts w:ascii="Times New Roman" w:hAnsi="Times New Roman" w:cs="Times New Roman"/>
        </w:rPr>
        <w:t>opgelegd voor ernstige overtredingen, op basis van complexe regelgeving met veel open normen waarvan de kenbaarheid niet onomstreden is.</w:t>
      </w:r>
      <w:r w:rsidR="005933D8" w:rsidRPr="00B25962">
        <w:rPr>
          <w:rStyle w:val="FootnoteReference"/>
          <w:rFonts w:ascii="Times New Roman" w:hAnsi="Times New Roman" w:cs="Times New Roman"/>
          <w:color w:val="000000" w:themeColor="text1"/>
        </w:rPr>
        <w:footnoteReference w:id="36"/>
      </w:r>
      <w:r w:rsidR="003148D9" w:rsidRPr="00B25962">
        <w:rPr>
          <w:rFonts w:ascii="Times New Roman" w:hAnsi="Times New Roman" w:cs="Times New Roman"/>
        </w:rPr>
        <w:t xml:space="preserve"> </w:t>
      </w:r>
      <w:r w:rsidR="000552C5" w:rsidRPr="00B25962">
        <w:rPr>
          <w:rFonts w:ascii="Times New Roman" w:hAnsi="Times New Roman" w:cs="Times New Roman"/>
          <w:color w:val="000000" w:themeColor="text1"/>
        </w:rPr>
        <w:t>Normen die nader worden ingevuld door hooggespecialiseerde toezichthouders die op grote afstand staan van de wetgever. Dat vraagt om tegenwicht door de boetefunctionaris (en de rechter)</w:t>
      </w:r>
      <w:r w:rsidR="001A1C7D" w:rsidRPr="00B25962">
        <w:rPr>
          <w:rFonts w:ascii="Times New Roman" w:hAnsi="Times New Roman" w:cs="Times New Roman"/>
          <w:color w:val="000000" w:themeColor="text1"/>
        </w:rPr>
        <w:t xml:space="preserve"> die zich bezint op de </w:t>
      </w:r>
      <w:r w:rsidR="001A1C7D" w:rsidRPr="00B25962">
        <w:rPr>
          <w:rFonts w:ascii="Times New Roman" w:hAnsi="Times New Roman" w:cs="Times New Roman"/>
        </w:rPr>
        <w:t>geschiktheid, noodzaak en evenwichtigheid van de boete</w:t>
      </w:r>
      <w:r w:rsidR="007B1EF5" w:rsidRPr="00B25962">
        <w:rPr>
          <w:rFonts w:ascii="Times New Roman" w:hAnsi="Times New Roman" w:cs="Times New Roman"/>
        </w:rPr>
        <w:t xml:space="preserve"> en daarover verantwoording aflegt </w:t>
      </w:r>
      <w:r w:rsidR="007B1EF5" w:rsidRPr="00B25962">
        <w:rPr>
          <w:rFonts w:ascii="Times New Roman" w:hAnsi="Times New Roman" w:cs="Times New Roman"/>
          <w:color w:val="000000" w:themeColor="text1"/>
        </w:rPr>
        <w:t>in het boetebesluit</w:t>
      </w:r>
      <w:r w:rsidR="000552C5" w:rsidRPr="00B25962">
        <w:rPr>
          <w:rFonts w:ascii="Times New Roman" w:hAnsi="Times New Roman" w:cs="Times New Roman"/>
          <w:color w:val="000000" w:themeColor="text1"/>
        </w:rPr>
        <w:t>.</w:t>
      </w:r>
      <w:r w:rsidR="0042272F" w:rsidRPr="00B25962">
        <w:rPr>
          <w:rStyle w:val="FootnoteReference"/>
          <w:rFonts w:ascii="Times New Roman" w:hAnsi="Times New Roman" w:cs="Times New Roman"/>
          <w:color w:val="000000" w:themeColor="text1"/>
        </w:rPr>
        <w:footnoteReference w:id="37"/>
      </w:r>
      <w:r w:rsidR="00522945" w:rsidRPr="00B25962">
        <w:rPr>
          <w:rFonts w:ascii="Times New Roman" w:hAnsi="Times New Roman" w:cs="Times New Roman"/>
          <w:color w:val="000000" w:themeColor="text1"/>
        </w:rPr>
        <w:t xml:space="preserve"> Deze </w:t>
      </w:r>
      <w:r w:rsidR="00522945" w:rsidRPr="00B25962">
        <w:rPr>
          <w:rFonts w:ascii="Times New Roman" w:hAnsi="Times New Roman" w:cs="Times New Roman"/>
          <w:color w:val="000000" w:themeColor="text1"/>
        </w:rPr>
        <w:lastRenderedPageBreak/>
        <w:t xml:space="preserve">criteria bieden in mijn ogen goede aanknopingspunten om te wegen en nader te onderbouwen in hoeverre het opleggen van een boete in dit concrete geval passend is. </w:t>
      </w:r>
    </w:p>
    <w:p w14:paraId="60F13E05" w14:textId="12DB7688" w:rsidR="0072712D" w:rsidRPr="00B25962" w:rsidRDefault="00D36077" w:rsidP="00B25962">
      <w:pPr>
        <w:ind w:firstLine="708"/>
        <w:jc w:val="both"/>
        <w:rPr>
          <w:rFonts w:ascii="Times New Roman" w:hAnsi="Times New Roman" w:cs="Times New Roman"/>
          <w:color w:val="000000" w:themeColor="text1"/>
        </w:rPr>
      </w:pPr>
      <w:r w:rsidRPr="00B25962">
        <w:rPr>
          <w:rFonts w:ascii="Times New Roman" w:hAnsi="Times New Roman" w:cs="Times New Roman"/>
          <w:color w:val="000000" w:themeColor="text1"/>
        </w:rPr>
        <w:t>Voor e</w:t>
      </w:r>
      <w:r w:rsidR="0072712D" w:rsidRPr="00B25962">
        <w:rPr>
          <w:rFonts w:ascii="Times New Roman" w:hAnsi="Times New Roman" w:cs="Times New Roman"/>
          <w:color w:val="000000" w:themeColor="text1"/>
        </w:rPr>
        <w:t xml:space="preserve">en verdere, meer algemene rechtvaardiging, vind ik </w:t>
      </w:r>
      <w:r w:rsidRPr="00B25962">
        <w:rPr>
          <w:rFonts w:ascii="Times New Roman" w:hAnsi="Times New Roman" w:cs="Times New Roman"/>
          <w:color w:val="000000" w:themeColor="text1"/>
        </w:rPr>
        <w:t xml:space="preserve">steun </w:t>
      </w:r>
      <w:r w:rsidR="0072712D" w:rsidRPr="00B25962">
        <w:rPr>
          <w:rFonts w:ascii="Times New Roman" w:hAnsi="Times New Roman" w:cs="Times New Roman"/>
          <w:color w:val="000000" w:themeColor="text1"/>
        </w:rPr>
        <w:t xml:space="preserve">bij </w:t>
      </w:r>
      <w:proofErr w:type="spellStart"/>
      <w:r w:rsidR="0072712D" w:rsidRPr="00B25962">
        <w:rPr>
          <w:rFonts w:ascii="Times New Roman" w:hAnsi="Times New Roman" w:cs="Times New Roman"/>
          <w:color w:val="000000" w:themeColor="text1"/>
        </w:rPr>
        <w:t>Broring</w:t>
      </w:r>
      <w:proofErr w:type="spellEnd"/>
      <w:r w:rsidR="0072712D" w:rsidRPr="00B25962">
        <w:rPr>
          <w:rFonts w:ascii="Times New Roman" w:hAnsi="Times New Roman" w:cs="Times New Roman"/>
          <w:color w:val="000000" w:themeColor="text1"/>
        </w:rPr>
        <w:t>.</w:t>
      </w:r>
      <w:r w:rsidR="0072712D" w:rsidRPr="00B25962">
        <w:rPr>
          <w:rStyle w:val="FootnoteReference"/>
          <w:rFonts w:ascii="Times New Roman" w:hAnsi="Times New Roman" w:cs="Times New Roman"/>
          <w:color w:val="000000" w:themeColor="text1"/>
        </w:rPr>
        <w:footnoteReference w:id="38"/>
      </w:r>
      <w:r w:rsidR="0072712D" w:rsidRPr="00B25962">
        <w:rPr>
          <w:rFonts w:ascii="Times New Roman" w:hAnsi="Times New Roman" w:cs="Times New Roman"/>
          <w:color w:val="000000" w:themeColor="text1"/>
        </w:rPr>
        <w:t xml:space="preserve"> Die stelt </w:t>
      </w:r>
      <w:r w:rsidR="00B71E09" w:rsidRPr="00B25962">
        <w:rPr>
          <w:rFonts w:ascii="Times New Roman" w:hAnsi="Times New Roman" w:cs="Times New Roman"/>
          <w:color w:val="000000" w:themeColor="text1"/>
        </w:rPr>
        <w:t xml:space="preserve">in zijn analyse van de Harderwijk-uitspraak </w:t>
      </w:r>
      <w:r w:rsidR="0072712D" w:rsidRPr="00B25962">
        <w:rPr>
          <w:rFonts w:ascii="Times New Roman" w:hAnsi="Times New Roman" w:cs="Times New Roman"/>
          <w:color w:val="000000" w:themeColor="text1"/>
        </w:rPr>
        <w:t>dat het evenredigheidsbeginsel zich</w:t>
      </w:r>
      <w:r w:rsidR="00B71E09" w:rsidRPr="00B25962">
        <w:rPr>
          <w:rFonts w:ascii="Times New Roman" w:hAnsi="Times New Roman" w:cs="Times New Roman"/>
          <w:color w:val="000000" w:themeColor="text1"/>
        </w:rPr>
        <w:t xml:space="preserve"> </w:t>
      </w:r>
      <w:r w:rsidR="0072712D" w:rsidRPr="00B25962">
        <w:rPr>
          <w:rFonts w:ascii="Times New Roman" w:hAnsi="Times New Roman" w:cs="Times New Roman"/>
          <w:color w:val="000000" w:themeColor="text1"/>
        </w:rPr>
        <w:t>ontwikkel</w:t>
      </w:r>
      <w:r w:rsidR="00B71E09" w:rsidRPr="00B25962">
        <w:rPr>
          <w:rFonts w:ascii="Times New Roman" w:hAnsi="Times New Roman" w:cs="Times New Roman"/>
          <w:color w:val="000000" w:themeColor="text1"/>
        </w:rPr>
        <w:t>t</w:t>
      </w:r>
      <w:r w:rsidR="0072712D" w:rsidRPr="00B25962">
        <w:rPr>
          <w:rFonts w:ascii="Times New Roman" w:hAnsi="Times New Roman" w:cs="Times New Roman"/>
          <w:color w:val="000000" w:themeColor="text1"/>
        </w:rPr>
        <w:t xml:space="preserve"> tot een gedragsnorm voor de overheid</w:t>
      </w:r>
      <w:r w:rsidR="00B71E09" w:rsidRPr="00B25962">
        <w:rPr>
          <w:rFonts w:ascii="Times New Roman" w:hAnsi="Times New Roman" w:cs="Times New Roman"/>
          <w:color w:val="000000" w:themeColor="text1"/>
        </w:rPr>
        <w:t xml:space="preserve">. </w:t>
      </w:r>
      <w:r w:rsidR="006B7B36" w:rsidRPr="00B25962">
        <w:rPr>
          <w:rFonts w:ascii="Times New Roman" w:hAnsi="Times New Roman" w:cs="Times New Roman"/>
          <w:color w:val="000000" w:themeColor="text1"/>
        </w:rPr>
        <w:t>Daarmee bedoel</w:t>
      </w:r>
      <w:r w:rsidR="003D1A6E" w:rsidRPr="00B25962">
        <w:rPr>
          <w:rFonts w:ascii="Times New Roman" w:hAnsi="Times New Roman" w:cs="Times New Roman"/>
          <w:color w:val="000000" w:themeColor="text1"/>
        </w:rPr>
        <w:t xml:space="preserve">t hij </w:t>
      </w:r>
      <w:r w:rsidR="006B7B36" w:rsidRPr="00B25962">
        <w:rPr>
          <w:rFonts w:ascii="Times New Roman" w:hAnsi="Times New Roman" w:cs="Times New Roman"/>
          <w:color w:val="000000" w:themeColor="text1"/>
        </w:rPr>
        <w:t xml:space="preserve">dat die uitspraak </w:t>
      </w:r>
      <w:r w:rsidR="00B71E09" w:rsidRPr="00B25962">
        <w:rPr>
          <w:rFonts w:ascii="Times New Roman" w:hAnsi="Times New Roman" w:cs="Times New Roman"/>
          <w:color w:val="000000" w:themeColor="text1"/>
        </w:rPr>
        <w:t>dwingt tot</w:t>
      </w:r>
      <w:r w:rsidR="0072712D" w:rsidRPr="00B25962">
        <w:rPr>
          <w:rFonts w:ascii="Times New Roman" w:hAnsi="Times New Roman" w:cs="Times New Roman"/>
          <w:color w:val="000000" w:themeColor="text1"/>
        </w:rPr>
        <w:t xml:space="preserve"> </w:t>
      </w:r>
      <w:r w:rsidR="006B7B36" w:rsidRPr="00B25962">
        <w:rPr>
          <w:rFonts w:ascii="Times New Roman" w:hAnsi="Times New Roman" w:cs="Times New Roman"/>
          <w:color w:val="000000" w:themeColor="text1"/>
        </w:rPr>
        <w:t xml:space="preserve">meer </w:t>
      </w:r>
      <w:r w:rsidR="00B71E09" w:rsidRPr="00B25962">
        <w:rPr>
          <w:rFonts w:ascii="Times New Roman" w:hAnsi="Times New Roman" w:cs="Times New Roman"/>
          <w:color w:val="000000" w:themeColor="text1"/>
        </w:rPr>
        <w:t xml:space="preserve">geobjectiveerde, </w:t>
      </w:r>
      <w:r w:rsidR="0072712D" w:rsidRPr="00B25962">
        <w:rPr>
          <w:rFonts w:ascii="Times New Roman" w:hAnsi="Times New Roman" w:cs="Times New Roman"/>
          <w:color w:val="000000" w:themeColor="text1"/>
        </w:rPr>
        <w:t>beter onderbouwde</w:t>
      </w:r>
      <w:r w:rsidR="00B71E09" w:rsidRPr="00B25962">
        <w:rPr>
          <w:rFonts w:ascii="Times New Roman" w:hAnsi="Times New Roman" w:cs="Times New Roman"/>
          <w:color w:val="000000" w:themeColor="text1"/>
        </w:rPr>
        <w:t xml:space="preserve"> en </w:t>
      </w:r>
      <w:r w:rsidR="0072712D" w:rsidRPr="00B25962">
        <w:rPr>
          <w:rFonts w:ascii="Times New Roman" w:hAnsi="Times New Roman" w:cs="Times New Roman"/>
          <w:color w:val="000000" w:themeColor="text1"/>
        </w:rPr>
        <w:t>transparantere besluiten</w:t>
      </w:r>
      <w:r w:rsidR="00B71E09" w:rsidRPr="00B25962">
        <w:rPr>
          <w:rFonts w:ascii="Times New Roman" w:hAnsi="Times New Roman" w:cs="Times New Roman"/>
          <w:color w:val="000000" w:themeColor="text1"/>
        </w:rPr>
        <w:t xml:space="preserve"> (in het licht van het evenredigheidsbeginsel)</w:t>
      </w:r>
      <w:r w:rsidR="0072712D" w:rsidRPr="00B25962">
        <w:rPr>
          <w:rFonts w:ascii="Times New Roman" w:hAnsi="Times New Roman" w:cs="Times New Roman"/>
          <w:color w:val="000000" w:themeColor="text1"/>
        </w:rPr>
        <w:t xml:space="preserve">. </w:t>
      </w:r>
      <w:r w:rsidR="0027687B" w:rsidRPr="00B25962">
        <w:rPr>
          <w:rFonts w:ascii="Times New Roman" w:hAnsi="Times New Roman" w:cs="Times New Roman"/>
          <w:color w:val="000000" w:themeColor="text1"/>
        </w:rPr>
        <w:t>Kortom, t</w:t>
      </w:r>
      <w:r w:rsidR="0072712D" w:rsidRPr="00B25962">
        <w:rPr>
          <w:rFonts w:ascii="Times New Roman" w:hAnsi="Times New Roman" w:cs="Times New Roman"/>
          <w:color w:val="000000" w:themeColor="text1"/>
        </w:rPr>
        <w:t xml:space="preserve">ot rechtvaardiger besluiten. </w:t>
      </w:r>
    </w:p>
    <w:p w14:paraId="195DEF0A" w14:textId="0655BB50" w:rsidR="007501F5" w:rsidRPr="00B25962" w:rsidRDefault="0095619A" w:rsidP="00B25962">
      <w:pPr>
        <w:ind w:firstLine="357"/>
        <w:jc w:val="both"/>
        <w:rPr>
          <w:rFonts w:ascii="Times New Roman" w:hAnsi="Times New Roman" w:cs="Times New Roman"/>
        </w:rPr>
      </w:pPr>
      <w:r w:rsidRPr="00B25962">
        <w:rPr>
          <w:rFonts w:ascii="Times New Roman" w:hAnsi="Times New Roman" w:cs="Times New Roman"/>
        </w:rPr>
        <w:t>Ik realiseer me dat dit meer werk met zich mee zal brengen</w:t>
      </w:r>
      <w:r w:rsidR="007501F5" w:rsidRPr="00B25962">
        <w:rPr>
          <w:rFonts w:ascii="Times New Roman" w:hAnsi="Times New Roman" w:cs="Times New Roman"/>
        </w:rPr>
        <w:t>, niet alleen voor de boetefunctionaris, maar ook voor de toezichthouder. Zo zal er een uitvoerig boeterapport ter tafel moeten liggen, waaruit de relevante feiten en omstandigheden blijken</w:t>
      </w:r>
      <w:r w:rsidR="0043634F" w:rsidRPr="00B25962">
        <w:rPr>
          <w:rFonts w:ascii="Times New Roman" w:hAnsi="Times New Roman" w:cs="Times New Roman"/>
        </w:rPr>
        <w:t xml:space="preserve">. Meer in het bijzonder een </w:t>
      </w:r>
      <w:r w:rsidR="007501F5" w:rsidRPr="00B25962">
        <w:rPr>
          <w:rFonts w:ascii="Times New Roman" w:hAnsi="Times New Roman" w:cs="Times New Roman"/>
        </w:rPr>
        <w:t xml:space="preserve">beschrijving van </w:t>
      </w:r>
      <w:r w:rsidR="0043634F" w:rsidRPr="00B25962">
        <w:rPr>
          <w:rFonts w:ascii="Times New Roman" w:hAnsi="Times New Roman" w:cs="Times New Roman"/>
        </w:rPr>
        <w:t xml:space="preserve">het belang en de </w:t>
      </w:r>
      <w:r w:rsidR="007501F5" w:rsidRPr="00B25962">
        <w:rPr>
          <w:rFonts w:ascii="Times New Roman" w:hAnsi="Times New Roman" w:cs="Times New Roman"/>
        </w:rPr>
        <w:t xml:space="preserve">opstelling van de overtreder (diens </w:t>
      </w:r>
      <w:r w:rsidR="007501F5" w:rsidRPr="00B25962">
        <w:rPr>
          <w:rFonts w:ascii="Times New Roman" w:hAnsi="Times New Roman" w:cs="Times New Roman"/>
          <w:i/>
          <w:iCs/>
        </w:rPr>
        <w:t>compliance</w:t>
      </w:r>
      <w:r w:rsidR="007501F5" w:rsidRPr="00B25962">
        <w:rPr>
          <w:rFonts w:ascii="Times New Roman" w:hAnsi="Times New Roman" w:cs="Times New Roman"/>
        </w:rPr>
        <w:t xml:space="preserve">-houding), welke interventies de toezichthouder </w:t>
      </w:r>
      <w:r w:rsidR="0043634F" w:rsidRPr="00B25962">
        <w:rPr>
          <w:rFonts w:ascii="Times New Roman" w:hAnsi="Times New Roman" w:cs="Times New Roman"/>
        </w:rPr>
        <w:t xml:space="preserve">reeds </w:t>
      </w:r>
      <w:r w:rsidR="007501F5" w:rsidRPr="00B25962">
        <w:rPr>
          <w:rFonts w:ascii="Times New Roman" w:hAnsi="Times New Roman" w:cs="Times New Roman"/>
        </w:rPr>
        <w:t xml:space="preserve">heeft gepleegd en welk effect die hebben gehad. Dit vormt immers de basis voor </w:t>
      </w:r>
      <w:r w:rsidR="00373E61" w:rsidRPr="00B25962">
        <w:rPr>
          <w:rFonts w:ascii="Times New Roman" w:hAnsi="Times New Roman" w:cs="Times New Roman"/>
        </w:rPr>
        <w:t xml:space="preserve">de afweging en </w:t>
      </w:r>
      <w:r w:rsidR="007501F5" w:rsidRPr="00B25962">
        <w:rPr>
          <w:rFonts w:ascii="Times New Roman" w:hAnsi="Times New Roman" w:cs="Times New Roman"/>
        </w:rPr>
        <w:t xml:space="preserve">het advies van de boetefunctionaris. Als dit extra werk leidt tot beter onderbouwde en, mede daardoor, meer aanvaardbare boetebesluiten, dan lijkt me dat de moeite waard. </w:t>
      </w:r>
      <w:r w:rsidR="00E055F9" w:rsidRPr="00B25962">
        <w:rPr>
          <w:rFonts w:ascii="Times New Roman" w:hAnsi="Times New Roman" w:cs="Times New Roman"/>
        </w:rPr>
        <w:t>Bovendien gaan de boetebesluiten van de AFM d</w:t>
      </w:r>
      <w:r w:rsidR="00373E61" w:rsidRPr="00B25962">
        <w:rPr>
          <w:rFonts w:ascii="Times New Roman" w:hAnsi="Times New Roman" w:cs="Times New Roman"/>
        </w:rPr>
        <w:t xml:space="preserve">e </w:t>
      </w:r>
      <w:r w:rsidR="00A51493" w:rsidRPr="00B25962">
        <w:rPr>
          <w:rFonts w:ascii="Times New Roman" w:hAnsi="Times New Roman" w:cs="Times New Roman"/>
        </w:rPr>
        <w:t xml:space="preserve">laatste jaren </w:t>
      </w:r>
      <w:r w:rsidR="00373E61" w:rsidRPr="00B25962">
        <w:rPr>
          <w:rFonts w:ascii="Times New Roman" w:hAnsi="Times New Roman" w:cs="Times New Roman"/>
        </w:rPr>
        <w:t xml:space="preserve">al in die richting, getuige </w:t>
      </w:r>
      <w:r w:rsidR="00C26223" w:rsidRPr="00B25962">
        <w:rPr>
          <w:rFonts w:ascii="Times New Roman" w:hAnsi="Times New Roman" w:cs="Times New Roman"/>
        </w:rPr>
        <w:t xml:space="preserve">de </w:t>
      </w:r>
      <w:r w:rsidR="00373E61" w:rsidRPr="00B25962">
        <w:rPr>
          <w:rFonts w:ascii="Times New Roman" w:hAnsi="Times New Roman" w:cs="Times New Roman"/>
        </w:rPr>
        <w:t>paragraaf</w:t>
      </w:r>
      <w:r w:rsidR="00C26223" w:rsidRPr="00B25962">
        <w:rPr>
          <w:rFonts w:ascii="Times New Roman" w:hAnsi="Times New Roman" w:cs="Times New Roman"/>
        </w:rPr>
        <w:t xml:space="preserve"> </w:t>
      </w:r>
      <w:r w:rsidR="00373E61" w:rsidRPr="00B25962">
        <w:rPr>
          <w:rFonts w:ascii="Times New Roman" w:hAnsi="Times New Roman" w:cs="Times New Roman"/>
        </w:rPr>
        <w:t>waarin</w:t>
      </w:r>
      <w:r w:rsidR="00C26223" w:rsidRPr="00B25962">
        <w:rPr>
          <w:rFonts w:ascii="Times New Roman" w:hAnsi="Times New Roman" w:cs="Times New Roman"/>
        </w:rPr>
        <w:t xml:space="preserve">, zij het nog vrij algemeen, </w:t>
      </w:r>
      <w:r w:rsidR="00373E61" w:rsidRPr="00B25962">
        <w:rPr>
          <w:rFonts w:ascii="Times New Roman" w:hAnsi="Times New Roman" w:cs="Times New Roman"/>
        </w:rPr>
        <w:t>op de opportuniteit van de boeteoplegging wordt ingegaan.</w:t>
      </w:r>
      <w:r w:rsidR="00373E61" w:rsidRPr="00B25962">
        <w:rPr>
          <w:rStyle w:val="FootnoteReference"/>
          <w:rFonts w:ascii="Times New Roman" w:hAnsi="Times New Roman" w:cs="Times New Roman"/>
        </w:rPr>
        <w:footnoteReference w:id="39"/>
      </w:r>
    </w:p>
    <w:p w14:paraId="52FA15D5" w14:textId="77777777" w:rsidR="004E3D45" w:rsidRPr="00B25962" w:rsidRDefault="004E3D45" w:rsidP="00B25962">
      <w:pPr>
        <w:jc w:val="both"/>
        <w:rPr>
          <w:rFonts w:ascii="Times New Roman" w:hAnsi="Times New Roman" w:cs="Times New Roman"/>
          <w:i/>
          <w:iCs/>
          <w:color w:val="FF0000"/>
        </w:rPr>
      </w:pPr>
    </w:p>
    <w:p w14:paraId="486A8103" w14:textId="0727B587" w:rsidR="00ED4E1C" w:rsidRPr="00B25962" w:rsidRDefault="00ED4E1C" w:rsidP="00B25962">
      <w:pPr>
        <w:pStyle w:val="ListParagraph"/>
        <w:numPr>
          <w:ilvl w:val="0"/>
          <w:numId w:val="1"/>
        </w:numPr>
        <w:ind w:left="357" w:hanging="357"/>
        <w:jc w:val="both"/>
        <w:rPr>
          <w:rFonts w:ascii="Times New Roman" w:hAnsi="Times New Roman" w:cs="Times New Roman"/>
          <w:b/>
          <w:bCs/>
        </w:rPr>
      </w:pPr>
      <w:r w:rsidRPr="00B25962">
        <w:rPr>
          <w:rFonts w:ascii="Times New Roman" w:hAnsi="Times New Roman" w:cs="Times New Roman"/>
          <w:b/>
          <w:bCs/>
        </w:rPr>
        <w:t>Afsluiting</w:t>
      </w:r>
      <w:r w:rsidR="004E3D45" w:rsidRPr="00B25962">
        <w:rPr>
          <w:rFonts w:ascii="Times New Roman" w:hAnsi="Times New Roman" w:cs="Times New Roman"/>
          <w:b/>
          <w:bCs/>
        </w:rPr>
        <w:t>: de responsieve boetefunctionaris</w:t>
      </w:r>
    </w:p>
    <w:p w14:paraId="647EABD7" w14:textId="77777777" w:rsidR="006F0FDE" w:rsidRPr="00B25962" w:rsidRDefault="006F0FDE" w:rsidP="00B25962">
      <w:pPr>
        <w:jc w:val="both"/>
        <w:rPr>
          <w:rFonts w:ascii="Times New Roman" w:hAnsi="Times New Roman" w:cs="Times New Roman"/>
        </w:rPr>
      </w:pPr>
    </w:p>
    <w:p w14:paraId="650D7B9B" w14:textId="0C45CB0F" w:rsidR="006F0FDE" w:rsidRPr="00B25962" w:rsidRDefault="006F0FDE" w:rsidP="00B25962">
      <w:pPr>
        <w:jc w:val="both"/>
        <w:rPr>
          <w:rFonts w:ascii="Times New Roman" w:hAnsi="Times New Roman" w:cs="Times New Roman"/>
        </w:rPr>
      </w:pPr>
      <w:r w:rsidRPr="00B25962">
        <w:rPr>
          <w:rFonts w:ascii="Times New Roman" w:hAnsi="Times New Roman" w:cs="Times New Roman"/>
        </w:rPr>
        <w:t xml:space="preserve">We zitten midden in een transformatie naar een responsieve rechtsstaat. </w:t>
      </w:r>
      <w:r w:rsidR="006821A3" w:rsidRPr="00B25962">
        <w:rPr>
          <w:rFonts w:ascii="Times New Roman" w:hAnsi="Times New Roman" w:cs="Times New Roman"/>
        </w:rPr>
        <w:t>Op tal van plaatsen wordt geëxperimenteerd om de rechtspleging</w:t>
      </w:r>
      <w:r w:rsidR="00E22E14" w:rsidRPr="00B25962">
        <w:rPr>
          <w:rFonts w:ascii="Times New Roman" w:hAnsi="Times New Roman" w:cs="Times New Roman"/>
        </w:rPr>
        <w:t xml:space="preserve"> </w:t>
      </w:r>
      <w:r w:rsidR="00A71FD3" w:rsidRPr="00B25962">
        <w:rPr>
          <w:rFonts w:ascii="Times New Roman" w:hAnsi="Times New Roman" w:cs="Times New Roman"/>
        </w:rPr>
        <w:t xml:space="preserve">meer </w:t>
      </w:r>
      <w:r w:rsidR="00E22E14" w:rsidRPr="00B25962">
        <w:rPr>
          <w:rFonts w:ascii="Times New Roman" w:hAnsi="Times New Roman" w:cs="Times New Roman"/>
        </w:rPr>
        <w:t>bij de tijd te brengen</w:t>
      </w:r>
      <w:r w:rsidR="006821A3" w:rsidRPr="00B25962">
        <w:rPr>
          <w:rFonts w:ascii="Times New Roman" w:hAnsi="Times New Roman" w:cs="Times New Roman"/>
        </w:rPr>
        <w:t xml:space="preserve">. </w:t>
      </w:r>
      <w:r w:rsidR="00F16800" w:rsidRPr="00B25962">
        <w:rPr>
          <w:rFonts w:ascii="Times New Roman" w:hAnsi="Times New Roman" w:cs="Times New Roman"/>
        </w:rPr>
        <w:t xml:space="preserve">Wetgeving wordt versoepeld en ook de rechter stelt zich kritischer op. Deze ontwikkeling is ook </w:t>
      </w:r>
      <w:r w:rsidR="00A71FD3" w:rsidRPr="00B25962">
        <w:rPr>
          <w:rFonts w:ascii="Times New Roman" w:hAnsi="Times New Roman" w:cs="Times New Roman"/>
        </w:rPr>
        <w:t xml:space="preserve">relevant </w:t>
      </w:r>
      <w:r w:rsidR="00F16800" w:rsidRPr="00B25962">
        <w:rPr>
          <w:rFonts w:ascii="Times New Roman" w:hAnsi="Times New Roman" w:cs="Times New Roman"/>
        </w:rPr>
        <w:t xml:space="preserve">voor </w:t>
      </w:r>
      <w:r w:rsidR="00A71FD3" w:rsidRPr="00B25962">
        <w:rPr>
          <w:rFonts w:ascii="Times New Roman" w:hAnsi="Times New Roman" w:cs="Times New Roman"/>
        </w:rPr>
        <w:t>juridische professionals bij de overheid, waaronder d</w:t>
      </w:r>
      <w:r w:rsidRPr="00B25962">
        <w:rPr>
          <w:rFonts w:ascii="Times New Roman" w:hAnsi="Times New Roman" w:cs="Times New Roman"/>
        </w:rPr>
        <w:t>e boetefunctionari</w:t>
      </w:r>
      <w:r w:rsidR="00A71FD3" w:rsidRPr="00B25962">
        <w:rPr>
          <w:rFonts w:ascii="Times New Roman" w:hAnsi="Times New Roman" w:cs="Times New Roman"/>
        </w:rPr>
        <w:t>s in het financieel toezicht</w:t>
      </w:r>
      <w:r w:rsidR="00F16800" w:rsidRPr="00B25962">
        <w:rPr>
          <w:rFonts w:ascii="Times New Roman" w:hAnsi="Times New Roman" w:cs="Times New Roman"/>
        </w:rPr>
        <w:t xml:space="preserve">. De boetefunctionaris dient zich </w:t>
      </w:r>
      <w:r w:rsidRPr="00B25962">
        <w:rPr>
          <w:rFonts w:ascii="Times New Roman" w:hAnsi="Times New Roman" w:cs="Times New Roman"/>
        </w:rPr>
        <w:t xml:space="preserve">te bezinnen op de betekenis hiervan voor zijn of haar functievervulling. Hoe responsief </w:t>
      </w:r>
      <w:r w:rsidR="00A71FD3" w:rsidRPr="00B25962">
        <w:rPr>
          <w:rFonts w:ascii="Times New Roman" w:hAnsi="Times New Roman" w:cs="Times New Roman"/>
        </w:rPr>
        <w:t>stel ik me op</w:t>
      </w:r>
      <w:r w:rsidRPr="00B25962">
        <w:rPr>
          <w:rFonts w:ascii="Times New Roman" w:hAnsi="Times New Roman" w:cs="Times New Roman"/>
        </w:rPr>
        <w:t xml:space="preserve">? Hoe geef ik daarvan blijk in mijn adviezen (concept-besluiten) voor het opleggen van een boete? </w:t>
      </w:r>
    </w:p>
    <w:p w14:paraId="68648444" w14:textId="162B8947" w:rsidR="006F0FDE" w:rsidRPr="00B25962" w:rsidRDefault="00F16800" w:rsidP="00B25962">
      <w:pPr>
        <w:ind w:firstLine="708"/>
        <w:jc w:val="both"/>
        <w:rPr>
          <w:rFonts w:ascii="Times New Roman" w:hAnsi="Times New Roman" w:cs="Times New Roman"/>
        </w:rPr>
      </w:pPr>
      <w:r w:rsidRPr="00B25962">
        <w:rPr>
          <w:rFonts w:ascii="Times New Roman" w:hAnsi="Times New Roman" w:cs="Times New Roman"/>
        </w:rPr>
        <w:t xml:space="preserve">Dat zou </w:t>
      </w:r>
      <w:r w:rsidR="00141FB3" w:rsidRPr="00B25962">
        <w:rPr>
          <w:rFonts w:ascii="Times New Roman" w:hAnsi="Times New Roman" w:cs="Times New Roman"/>
        </w:rPr>
        <w:t xml:space="preserve">kunnen </w:t>
      </w:r>
      <w:r w:rsidR="000561FF" w:rsidRPr="00B25962">
        <w:rPr>
          <w:rFonts w:ascii="Times New Roman" w:hAnsi="Times New Roman" w:cs="Times New Roman"/>
        </w:rPr>
        <w:t>d</w:t>
      </w:r>
      <w:r w:rsidR="00E73FDF" w:rsidRPr="00B25962">
        <w:rPr>
          <w:rFonts w:ascii="Times New Roman" w:hAnsi="Times New Roman" w:cs="Times New Roman"/>
        </w:rPr>
        <w:t xml:space="preserve">oor middel van </w:t>
      </w:r>
      <w:r w:rsidR="006F0FDE" w:rsidRPr="00B25962">
        <w:rPr>
          <w:rFonts w:ascii="Times New Roman" w:hAnsi="Times New Roman" w:cs="Times New Roman"/>
        </w:rPr>
        <w:t>een inhoudelijke verrijking van de belangenafweging</w:t>
      </w:r>
      <w:r w:rsidR="00A71FD3" w:rsidRPr="00B25962">
        <w:rPr>
          <w:rFonts w:ascii="Times New Roman" w:hAnsi="Times New Roman" w:cs="Times New Roman"/>
        </w:rPr>
        <w:t xml:space="preserve"> bij het besluit om een boete op te leggen</w:t>
      </w:r>
      <w:r w:rsidR="006F0FDE" w:rsidRPr="00B25962">
        <w:rPr>
          <w:rFonts w:ascii="Times New Roman" w:hAnsi="Times New Roman" w:cs="Times New Roman"/>
        </w:rPr>
        <w:t>: i</w:t>
      </w:r>
      <w:r w:rsidR="00E73FDF" w:rsidRPr="00B25962">
        <w:rPr>
          <w:rFonts w:ascii="Times New Roman" w:hAnsi="Times New Roman" w:cs="Times New Roman"/>
        </w:rPr>
        <w:t xml:space="preserve">n hoeverre is </w:t>
      </w:r>
      <w:r w:rsidR="006F0FDE" w:rsidRPr="00B25962">
        <w:rPr>
          <w:rFonts w:ascii="Times New Roman" w:hAnsi="Times New Roman" w:cs="Times New Roman"/>
        </w:rPr>
        <w:t xml:space="preserve">de boete </w:t>
      </w:r>
      <w:r w:rsidR="00E73FDF" w:rsidRPr="00B25962">
        <w:rPr>
          <w:rFonts w:ascii="Times New Roman" w:hAnsi="Times New Roman" w:cs="Times New Roman"/>
        </w:rPr>
        <w:t>opportuun en doelmatig</w:t>
      </w:r>
      <w:r w:rsidR="006F0FDE" w:rsidRPr="00B25962">
        <w:rPr>
          <w:rFonts w:ascii="Times New Roman" w:hAnsi="Times New Roman" w:cs="Times New Roman"/>
        </w:rPr>
        <w:t xml:space="preserve">? </w:t>
      </w:r>
      <w:r w:rsidR="000561FF" w:rsidRPr="00B25962">
        <w:rPr>
          <w:rFonts w:ascii="Times New Roman" w:hAnsi="Times New Roman" w:cs="Times New Roman"/>
        </w:rPr>
        <w:t xml:space="preserve">Is het een passende afdoening? </w:t>
      </w:r>
      <w:r w:rsidR="00E73FDF" w:rsidRPr="00B25962">
        <w:rPr>
          <w:rFonts w:ascii="Times New Roman" w:hAnsi="Times New Roman" w:cs="Times New Roman"/>
        </w:rPr>
        <w:t>Ik</w:t>
      </w:r>
      <w:r w:rsidR="000561FF" w:rsidRPr="00B25962">
        <w:rPr>
          <w:rFonts w:ascii="Times New Roman" w:hAnsi="Times New Roman" w:cs="Times New Roman"/>
        </w:rPr>
        <w:t xml:space="preserve"> heb uiteengezet</w:t>
      </w:r>
      <w:r w:rsidR="00E73FDF" w:rsidRPr="00B25962">
        <w:rPr>
          <w:rFonts w:ascii="Times New Roman" w:hAnsi="Times New Roman" w:cs="Times New Roman"/>
        </w:rPr>
        <w:t xml:space="preserve"> dat daartoe </w:t>
      </w:r>
      <w:r w:rsidRPr="00B25962">
        <w:rPr>
          <w:rFonts w:ascii="Times New Roman" w:hAnsi="Times New Roman" w:cs="Times New Roman"/>
        </w:rPr>
        <w:t>alle aanleiding bestaat in de boetepraktijk van het financieel toezicht</w:t>
      </w:r>
      <w:r w:rsidR="00E73FDF" w:rsidRPr="00B25962">
        <w:rPr>
          <w:rFonts w:ascii="Times New Roman" w:hAnsi="Times New Roman" w:cs="Times New Roman"/>
        </w:rPr>
        <w:t xml:space="preserve">. </w:t>
      </w:r>
      <w:r w:rsidRPr="00B25962">
        <w:rPr>
          <w:rFonts w:ascii="Times New Roman" w:hAnsi="Times New Roman" w:cs="Times New Roman"/>
        </w:rPr>
        <w:t xml:space="preserve">Daartoe zou de boetefunctionaris zich </w:t>
      </w:r>
      <w:r w:rsidR="000561FF" w:rsidRPr="00B25962">
        <w:rPr>
          <w:rFonts w:ascii="Times New Roman" w:hAnsi="Times New Roman" w:cs="Times New Roman"/>
        </w:rPr>
        <w:t xml:space="preserve">kunnen </w:t>
      </w:r>
      <w:r w:rsidR="006F0FDE" w:rsidRPr="00B25962">
        <w:rPr>
          <w:rFonts w:ascii="Times New Roman" w:hAnsi="Times New Roman" w:cs="Times New Roman"/>
        </w:rPr>
        <w:t xml:space="preserve">laten inspireren door de bestuursrechter, die zich </w:t>
      </w:r>
      <w:r w:rsidRPr="00B25962">
        <w:rPr>
          <w:rFonts w:ascii="Times New Roman" w:hAnsi="Times New Roman" w:cs="Times New Roman"/>
        </w:rPr>
        <w:t xml:space="preserve">steeds </w:t>
      </w:r>
      <w:r w:rsidR="006F0FDE" w:rsidRPr="00B25962">
        <w:rPr>
          <w:rFonts w:ascii="Times New Roman" w:hAnsi="Times New Roman" w:cs="Times New Roman"/>
        </w:rPr>
        <w:t xml:space="preserve">kritischer opstelt ten aanzien van (de evenredigheid van) bestuursbesluiten. </w:t>
      </w:r>
      <w:r w:rsidRPr="00B25962">
        <w:rPr>
          <w:rFonts w:ascii="Times New Roman" w:hAnsi="Times New Roman" w:cs="Times New Roman"/>
        </w:rPr>
        <w:t xml:space="preserve">Een </w:t>
      </w:r>
      <w:r w:rsidR="00324C1B" w:rsidRPr="00B25962">
        <w:rPr>
          <w:rFonts w:ascii="Times New Roman" w:hAnsi="Times New Roman" w:cs="Times New Roman"/>
        </w:rPr>
        <w:t xml:space="preserve">responsieve boetefunctionaris draagt zo bij aan </w:t>
      </w:r>
      <w:r w:rsidRPr="00B25962">
        <w:rPr>
          <w:rFonts w:ascii="Times New Roman" w:hAnsi="Times New Roman" w:cs="Times New Roman"/>
        </w:rPr>
        <w:t xml:space="preserve">de legitimiteit en effectiviteit van het financieel toezicht. </w:t>
      </w:r>
    </w:p>
    <w:p w14:paraId="5DF1276B" w14:textId="77777777" w:rsidR="006F0FDE" w:rsidRPr="00B25962" w:rsidRDefault="006F0FDE" w:rsidP="00B25962">
      <w:pPr>
        <w:jc w:val="both"/>
        <w:rPr>
          <w:rFonts w:ascii="Times New Roman" w:hAnsi="Times New Roman" w:cs="Times New Roman"/>
        </w:rPr>
      </w:pPr>
    </w:p>
    <w:p w14:paraId="22DEF618" w14:textId="77777777" w:rsidR="006F0FDE" w:rsidRPr="00B25962" w:rsidRDefault="006F0FDE" w:rsidP="00B25962">
      <w:pPr>
        <w:jc w:val="both"/>
        <w:rPr>
          <w:rFonts w:ascii="Times New Roman" w:hAnsi="Times New Roman" w:cs="Times New Roman"/>
        </w:rPr>
      </w:pPr>
    </w:p>
    <w:p w14:paraId="70290EBD" w14:textId="77777777" w:rsidR="00B4232E" w:rsidRPr="00B25962" w:rsidRDefault="00B4232E" w:rsidP="00B25962">
      <w:pPr>
        <w:jc w:val="both"/>
        <w:rPr>
          <w:rFonts w:ascii="Times New Roman" w:hAnsi="Times New Roman" w:cs="Times New Roman"/>
        </w:rPr>
      </w:pPr>
    </w:p>
    <w:p w14:paraId="387D306C" w14:textId="77777777" w:rsidR="00B4232E" w:rsidRPr="00B25962" w:rsidRDefault="00B4232E" w:rsidP="00B25962">
      <w:pPr>
        <w:jc w:val="both"/>
        <w:rPr>
          <w:rFonts w:ascii="Times New Roman" w:hAnsi="Times New Roman" w:cs="Times New Roman"/>
        </w:rPr>
      </w:pPr>
    </w:p>
    <w:sectPr w:rsidR="00B4232E" w:rsidRPr="00B2596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09FF" w14:textId="77777777" w:rsidR="0080778C" w:rsidRDefault="0080778C" w:rsidP="00F7070C">
      <w:r>
        <w:separator/>
      </w:r>
    </w:p>
  </w:endnote>
  <w:endnote w:type="continuationSeparator" w:id="0">
    <w:p w14:paraId="4BCE84E1" w14:textId="77777777" w:rsidR="0080778C" w:rsidRDefault="0080778C" w:rsidP="00F7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3584748"/>
      <w:docPartObj>
        <w:docPartGallery w:val="Page Numbers (Bottom of Page)"/>
        <w:docPartUnique/>
      </w:docPartObj>
    </w:sdtPr>
    <w:sdtEndPr>
      <w:rPr>
        <w:rStyle w:val="PageNumber"/>
      </w:rPr>
    </w:sdtEndPr>
    <w:sdtContent>
      <w:p w14:paraId="652AD67E" w14:textId="64D684A7" w:rsidR="00F7070C" w:rsidRDefault="00F7070C" w:rsidP="00896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96DED" w14:textId="77777777" w:rsidR="00F7070C" w:rsidRDefault="00F7070C" w:rsidP="00F70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555876"/>
      <w:docPartObj>
        <w:docPartGallery w:val="Page Numbers (Bottom of Page)"/>
        <w:docPartUnique/>
      </w:docPartObj>
    </w:sdtPr>
    <w:sdtEndPr>
      <w:rPr>
        <w:rStyle w:val="PageNumber"/>
      </w:rPr>
    </w:sdtEndPr>
    <w:sdtContent>
      <w:p w14:paraId="5B270363" w14:textId="0B994811" w:rsidR="00F7070C" w:rsidRDefault="00F7070C" w:rsidP="00896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3F22CD" w14:textId="77777777" w:rsidR="00F7070C" w:rsidRDefault="00F7070C" w:rsidP="00F70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F832" w14:textId="77777777" w:rsidR="0080778C" w:rsidRDefault="0080778C" w:rsidP="00F7070C">
      <w:r>
        <w:separator/>
      </w:r>
    </w:p>
  </w:footnote>
  <w:footnote w:type="continuationSeparator" w:id="0">
    <w:p w14:paraId="6DE3EB48" w14:textId="77777777" w:rsidR="0080778C" w:rsidRDefault="0080778C" w:rsidP="00F7070C">
      <w:r>
        <w:continuationSeparator/>
      </w:r>
    </w:p>
  </w:footnote>
  <w:footnote w:id="1">
    <w:p w14:paraId="61780BF4" w14:textId="07FDD8E4" w:rsidR="00C30A98" w:rsidRDefault="00C30A98">
      <w:pPr>
        <w:pStyle w:val="FootnoteText"/>
      </w:pPr>
      <w:r>
        <w:rPr>
          <w:rStyle w:val="FootnoteReference"/>
        </w:rPr>
        <w:footnoteRef/>
      </w:r>
      <w:r>
        <w:t xml:space="preserve"> Mr. dr. A.G. Mein is lector </w:t>
      </w:r>
      <w:r w:rsidRPr="00C30A98">
        <w:rPr>
          <w:i/>
          <w:iCs/>
        </w:rPr>
        <w:t>Legal Management</w:t>
      </w:r>
      <w:r>
        <w:t xml:space="preserve"> bij kenniscentrum Maatschappij en Recht van de Hogeschool van Amsterdam. </w:t>
      </w:r>
    </w:p>
  </w:footnote>
  <w:footnote w:id="2">
    <w:p w14:paraId="2E8E21E6" w14:textId="742B4E5F" w:rsidR="000E068E" w:rsidRDefault="000E068E">
      <w:pPr>
        <w:pStyle w:val="FootnoteText"/>
      </w:pPr>
      <w:r>
        <w:rPr>
          <w:rStyle w:val="FootnoteReference"/>
        </w:rPr>
        <w:footnoteRef/>
      </w:r>
      <w:r>
        <w:t xml:space="preserve"> A.J. Akkermans, ‘Het geheel is meer dan de som der delen. Een algehele transformatie binnen de </w:t>
      </w:r>
      <w:proofErr w:type="spellStart"/>
      <w:r>
        <w:t>conflictoplossende</w:t>
      </w:r>
      <w:proofErr w:type="spellEnd"/>
      <w:r>
        <w:t xml:space="preserve"> functie van het rechtssysteem’, in: A.J. Akkermans, G. de Groot &amp; A.T. Marseille (red</w:t>
      </w:r>
      <w:r w:rsidRPr="000E068E">
        <w:rPr>
          <w:i/>
          <w:iCs/>
        </w:rPr>
        <w:t xml:space="preserve">.), Het probleemoplossend vermogen van het rechtssysteem. Inleidingen op de lustrumconferentie van het Netherlands </w:t>
      </w:r>
      <w:proofErr w:type="spellStart"/>
      <w:r w:rsidRPr="000E068E">
        <w:rPr>
          <w:i/>
          <w:iCs/>
        </w:rPr>
        <w:t>Institute</w:t>
      </w:r>
      <w:proofErr w:type="spellEnd"/>
      <w:r w:rsidRPr="000E068E">
        <w:rPr>
          <w:i/>
          <w:iCs/>
        </w:rPr>
        <w:t xml:space="preserve"> </w:t>
      </w:r>
      <w:proofErr w:type="spellStart"/>
      <w:r w:rsidRPr="000E068E">
        <w:rPr>
          <w:i/>
          <w:iCs/>
        </w:rPr>
        <w:t>for</w:t>
      </w:r>
      <w:proofErr w:type="spellEnd"/>
      <w:r w:rsidRPr="000E068E">
        <w:rPr>
          <w:i/>
          <w:iCs/>
        </w:rPr>
        <w:t xml:space="preserve"> </w:t>
      </w:r>
      <w:proofErr w:type="spellStart"/>
      <w:r w:rsidRPr="000E068E">
        <w:rPr>
          <w:i/>
          <w:iCs/>
        </w:rPr>
        <w:t>Law</w:t>
      </w:r>
      <w:proofErr w:type="spellEnd"/>
      <w:r w:rsidRPr="000E068E">
        <w:rPr>
          <w:i/>
          <w:iCs/>
        </w:rPr>
        <w:t xml:space="preserve"> &amp; </w:t>
      </w:r>
      <w:proofErr w:type="spellStart"/>
      <w:r w:rsidRPr="000E068E">
        <w:rPr>
          <w:i/>
          <w:iCs/>
        </w:rPr>
        <w:t>Governance</w:t>
      </w:r>
      <w:proofErr w:type="spellEnd"/>
      <w:r w:rsidRPr="000E068E">
        <w:rPr>
          <w:i/>
          <w:iCs/>
        </w:rPr>
        <w:t>, Amsterdam, november 2019</w:t>
      </w:r>
      <w:r>
        <w:t xml:space="preserve">, Den Haag: </w:t>
      </w:r>
      <w:proofErr w:type="spellStart"/>
      <w:r>
        <w:t>Boomjuridisch</w:t>
      </w:r>
      <w:proofErr w:type="spellEnd"/>
      <w:r>
        <w:t>, 2020, p. 11-26.</w:t>
      </w:r>
    </w:p>
  </w:footnote>
  <w:footnote w:id="3">
    <w:p w14:paraId="79151BE9" w14:textId="16C8EB51" w:rsidR="009601B9" w:rsidRDefault="009601B9">
      <w:pPr>
        <w:pStyle w:val="FootnoteText"/>
      </w:pPr>
      <w:r>
        <w:rPr>
          <w:rStyle w:val="FootnoteReference"/>
        </w:rPr>
        <w:footnoteRef/>
      </w:r>
      <w:r>
        <w:t xml:space="preserve"> </w:t>
      </w:r>
      <w:r w:rsidR="005E3F79">
        <w:t xml:space="preserve">Vergelijk de experimenten met wijk- en buurtrechtspraak in het kader van het programma ‘Maatschappelijk effectieve rechtspraak’ </w:t>
      </w:r>
      <w:r w:rsidR="00332AC7">
        <w:t xml:space="preserve">en </w:t>
      </w:r>
      <w:r w:rsidR="005E3F79">
        <w:t>de experimenten in het kader van de stelselherziening rechtsbijstand. Zie rechtspraak.nl resp. raadvoorrechtsbijstand.org.</w:t>
      </w:r>
    </w:p>
  </w:footnote>
  <w:footnote w:id="4">
    <w:p w14:paraId="68826A14" w14:textId="7AC27449" w:rsidR="009601B9" w:rsidRPr="009601B9" w:rsidRDefault="009601B9">
      <w:pPr>
        <w:pStyle w:val="FootnoteText"/>
        <w:rPr>
          <w:rFonts w:cstheme="minorHAnsi"/>
        </w:rPr>
      </w:pPr>
      <w:r w:rsidRPr="009601B9">
        <w:rPr>
          <w:rStyle w:val="FootnoteReference"/>
          <w:rFonts w:cstheme="minorHAnsi"/>
        </w:rPr>
        <w:footnoteRef/>
      </w:r>
      <w:r w:rsidRPr="009601B9">
        <w:rPr>
          <w:rFonts w:cstheme="minorHAnsi"/>
        </w:rPr>
        <w:t xml:space="preserve"> </w:t>
      </w:r>
      <w:r w:rsidR="00332AC7" w:rsidRPr="00332AC7">
        <w:rPr>
          <w:rFonts w:cstheme="minorHAnsi"/>
          <w:i/>
          <w:iCs/>
        </w:rPr>
        <w:t>K</w:t>
      </w:r>
      <w:r w:rsidRPr="00332AC7">
        <w:rPr>
          <w:rFonts w:cstheme="minorHAnsi"/>
          <w:i/>
          <w:iCs/>
        </w:rPr>
        <w:t>amerstukken II</w:t>
      </w:r>
      <w:r w:rsidRPr="009601B9">
        <w:rPr>
          <w:rFonts w:cstheme="minorHAnsi"/>
        </w:rPr>
        <w:t xml:space="preserve">, 2020/21, 35510, </w:t>
      </w:r>
      <w:r w:rsidR="00550B41">
        <w:rPr>
          <w:rFonts w:cstheme="minorHAnsi"/>
        </w:rPr>
        <w:t xml:space="preserve">nr. </w:t>
      </w:r>
      <w:r w:rsidRPr="009601B9">
        <w:rPr>
          <w:rFonts w:cstheme="minorHAnsi"/>
        </w:rPr>
        <w:t>4.</w:t>
      </w:r>
    </w:p>
  </w:footnote>
  <w:footnote w:id="5">
    <w:p w14:paraId="0FF239C0" w14:textId="4A79E23B" w:rsidR="009601B9" w:rsidRPr="004070BF" w:rsidRDefault="009601B9">
      <w:pPr>
        <w:pStyle w:val="FootnoteText"/>
        <w:rPr>
          <w:color w:val="000000" w:themeColor="text1"/>
        </w:rPr>
      </w:pPr>
      <w:r>
        <w:rPr>
          <w:rStyle w:val="FootnoteReference"/>
        </w:rPr>
        <w:footnoteRef/>
      </w:r>
      <w:r w:rsidR="004070BF">
        <w:t xml:space="preserve"> Zie het wetsvoorstel versterking waarborgfunctie </w:t>
      </w:r>
      <w:proofErr w:type="spellStart"/>
      <w:r w:rsidR="004070BF" w:rsidRPr="00332AC7">
        <w:rPr>
          <w:color w:val="000000" w:themeColor="text1"/>
        </w:rPr>
        <w:t>Awb</w:t>
      </w:r>
      <w:proofErr w:type="spellEnd"/>
      <w:r w:rsidR="004070BF" w:rsidRPr="00332AC7">
        <w:rPr>
          <w:color w:val="000000" w:themeColor="text1"/>
        </w:rPr>
        <w:t xml:space="preserve"> (</w:t>
      </w:r>
      <w:r w:rsidR="004070BF" w:rsidRPr="00332AC7">
        <w:rPr>
          <w:i/>
          <w:iCs/>
          <w:color w:val="000000" w:themeColor="text1"/>
        </w:rPr>
        <w:t>Kamerstukken II</w:t>
      </w:r>
      <w:r w:rsidR="004070BF" w:rsidRPr="00332AC7">
        <w:rPr>
          <w:color w:val="000000" w:themeColor="text1"/>
        </w:rPr>
        <w:t xml:space="preserve">, </w:t>
      </w:r>
      <w:r w:rsidR="00332AC7" w:rsidRPr="00332AC7">
        <w:rPr>
          <w:color w:val="000000" w:themeColor="text1"/>
        </w:rPr>
        <w:t>2021/22,35510, nr</w:t>
      </w:r>
      <w:r w:rsidR="00797A51">
        <w:rPr>
          <w:color w:val="000000" w:themeColor="text1"/>
        </w:rPr>
        <w:t>.</w:t>
      </w:r>
      <w:r w:rsidR="00332AC7" w:rsidRPr="00332AC7">
        <w:rPr>
          <w:color w:val="000000" w:themeColor="text1"/>
        </w:rPr>
        <w:t xml:space="preserve"> 102</w:t>
      </w:r>
      <w:r w:rsidR="004070BF" w:rsidRPr="00332AC7">
        <w:rPr>
          <w:color w:val="000000" w:themeColor="text1"/>
        </w:rPr>
        <w:t>) resp</w:t>
      </w:r>
      <w:r w:rsidR="004070BF">
        <w:rPr>
          <w:color w:val="000000" w:themeColor="text1"/>
        </w:rPr>
        <w:t xml:space="preserve">. </w:t>
      </w:r>
      <w:proofErr w:type="spellStart"/>
      <w:r w:rsidR="004070BF">
        <w:rPr>
          <w:color w:val="000000" w:themeColor="text1"/>
        </w:rPr>
        <w:t>ABRvS</w:t>
      </w:r>
      <w:proofErr w:type="spellEnd"/>
      <w:r w:rsidR="004070BF">
        <w:rPr>
          <w:color w:val="000000" w:themeColor="text1"/>
        </w:rPr>
        <w:t xml:space="preserve"> 2 februari 2022, ECLI:NL:RVS:2022:285. </w:t>
      </w:r>
      <w:r w:rsidR="002E4DFA">
        <w:rPr>
          <w:color w:val="000000" w:themeColor="text1"/>
        </w:rPr>
        <w:t>Zie ook hoofdstuk 3 (Van der Grinten &amp; Schilder).</w:t>
      </w:r>
    </w:p>
  </w:footnote>
  <w:footnote w:id="6">
    <w:p w14:paraId="5F2E78C7" w14:textId="31F5F134" w:rsidR="001B2362" w:rsidRDefault="001B2362">
      <w:pPr>
        <w:pStyle w:val="FootnoteText"/>
      </w:pPr>
      <w:r>
        <w:rPr>
          <w:rStyle w:val="FootnoteReference"/>
        </w:rPr>
        <w:footnoteRef/>
      </w:r>
      <w:r>
        <w:t xml:space="preserve"> A.G. Mein, ‘Gemeentelijke juridische professionals in verandering’, </w:t>
      </w:r>
      <w:r w:rsidRPr="001B2362">
        <w:rPr>
          <w:i/>
          <w:iCs/>
        </w:rPr>
        <w:t>Recht der Werkelijkheid</w:t>
      </w:r>
      <w:r>
        <w:t>, 2021/2, p. 64-82.</w:t>
      </w:r>
      <w:r w:rsidR="00694FBE">
        <w:t xml:space="preserve"> Zie over dit tijdsbeeld ook: L. Hulst, B. Marseille &amp; N. Steenhagen, ‘Hoe kan het burgerperspectief bij de overheid vaste voet aan de grond krijgen?’, </w:t>
      </w:r>
      <w:r w:rsidR="00694FBE" w:rsidRPr="00694FBE">
        <w:rPr>
          <w:i/>
          <w:iCs/>
        </w:rPr>
        <w:t>NJB</w:t>
      </w:r>
      <w:r w:rsidR="00694FBE">
        <w:t xml:space="preserve"> 2022/39, p. 3210-3218.</w:t>
      </w:r>
    </w:p>
  </w:footnote>
  <w:footnote w:id="7">
    <w:p w14:paraId="3A6CC331" w14:textId="4E7FA9E5" w:rsidR="002E4DFA" w:rsidRDefault="002E4DFA">
      <w:pPr>
        <w:pStyle w:val="FootnoteText"/>
      </w:pPr>
      <w:r>
        <w:rPr>
          <w:rStyle w:val="FootnoteReference"/>
        </w:rPr>
        <w:footnoteRef/>
      </w:r>
      <w:r>
        <w:t xml:space="preserve"> Zie ook hoofdstuk 1 (Van der Vorm).</w:t>
      </w:r>
    </w:p>
  </w:footnote>
  <w:footnote w:id="8">
    <w:p w14:paraId="3943F1D0" w14:textId="35DB693D" w:rsidR="00912D06" w:rsidRPr="000408B8" w:rsidRDefault="00912D06" w:rsidP="00BE7FBD">
      <w:pPr>
        <w:rPr>
          <w:rFonts w:eastAsia="Times New Roman" w:cstheme="minorHAnsi"/>
          <w:sz w:val="20"/>
          <w:szCs w:val="20"/>
        </w:rPr>
      </w:pPr>
      <w:r w:rsidRPr="000408B8">
        <w:rPr>
          <w:rStyle w:val="FootnoteReference"/>
          <w:rFonts w:cstheme="minorHAnsi"/>
          <w:sz w:val="20"/>
          <w:szCs w:val="20"/>
        </w:rPr>
        <w:footnoteRef/>
      </w:r>
      <w:r w:rsidR="00853BB1" w:rsidRPr="000408B8">
        <w:rPr>
          <w:rFonts w:cstheme="minorHAnsi"/>
          <w:sz w:val="20"/>
          <w:szCs w:val="20"/>
        </w:rPr>
        <w:t xml:space="preserve"> M. Scheltema, </w:t>
      </w:r>
      <w:r w:rsidR="00853BB1" w:rsidRPr="000408B8">
        <w:rPr>
          <w:rFonts w:eastAsia="Times New Roman" w:cstheme="minorHAnsi"/>
          <w:sz w:val="20"/>
          <w:szCs w:val="20"/>
        </w:rPr>
        <w:t xml:space="preserve">‘Bureaucratische rechtsstaat of responsieve rechtsstaat?’ </w:t>
      </w:r>
      <w:r w:rsidR="00853BB1" w:rsidRPr="000408B8">
        <w:rPr>
          <w:rFonts w:eastAsia="Times New Roman" w:cstheme="minorHAnsi"/>
          <w:i/>
          <w:sz w:val="20"/>
          <w:szCs w:val="20"/>
        </w:rPr>
        <w:t>NTB</w:t>
      </w:r>
      <w:r w:rsidR="00853BB1" w:rsidRPr="000408B8">
        <w:rPr>
          <w:rFonts w:eastAsia="Times New Roman" w:cstheme="minorHAnsi"/>
          <w:sz w:val="20"/>
          <w:szCs w:val="20"/>
        </w:rPr>
        <w:t>, 2015/37</w:t>
      </w:r>
      <w:r w:rsidR="00853BB1" w:rsidRPr="000408B8">
        <w:rPr>
          <w:rFonts w:eastAsia="Times New Roman" w:cstheme="minorHAnsi"/>
          <w:color w:val="000000" w:themeColor="text1"/>
          <w:sz w:val="20"/>
          <w:szCs w:val="20"/>
        </w:rPr>
        <w:t>,</w:t>
      </w:r>
      <w:r w:rsidR="00853BB1" w:rsidRPr="000408B8">
        <w:rPr>
          <w:rFonts w:eastAsia="Times New Roman" w:cstheme="minorHAnsi"/>
          <w:sz w:val="20"/>
          <w:szCs w:val="20"/>
        </w:rPr>
        <w:t xml:space="preserve"> p. 287-289; M. Scheltema, ‘De responsieve rechtsstaat: het burgerperspectief’, </w:t>
      </w:r>
      <w:r w:rsidR="00853BB1" w:rsidRPr="000408B8">
        <w:rPr>
          <w:rFonts w:eastAsia="Times New Roman" w:cstheme="minorHAnsi"/>
          <w:i/>
          <w:sz w:val="20"/>
          <w:szCs w:val="20"/>
        </w:rPr>
        <w:t>NTB</w:t>
      </w:r>
      <w:r w:rsidR="00853BB1" w:rsidRPr="000408B8">
        <w:rPr>
          <w:rFonts w:eastAsia="Times New Roman" w:cstheme="minorHAnsi"/>
          <w:sz w:val="20"/>
          <w:szCs w:val="20"/>
        </w:rPr>
        <w:t>, 2019/6, p. 246-253.</w:t>
      </w:r>
      <w:r w:rsidR="006F1870">
        <w:rPr>
          <w:rFonts w:eastAsia="Times New Roman" w:cstheme="minorHAnsi"/>
          <w:sz w:val="20"/>
          <w:szCs w:val="20"/>
        </w:rPr>
        <w:t xml:space="preserve"> Een </w:t>
      </w:r>
      <w:r w:rsidR="00434E87">
        <w:rPr>
          <w:rFonts w:eastAsia="Times New Roman" w:cstheme="minorHAnsi"/>
          <w:sz w:val="20"/>
          <w:szCs w:val="20"/>
        </w:rPr>
        <w:t xml:space="preserve">belangrijke </w:t>
      </w:r>
      <w:r w:rsidR="006F1870">
        <w:rPr>
          <w:rFonts w:eastAsia="Times New Roman" w:cstheme="minorHAnsi"/>
          <w:sz w:val="20"/>
          <w:szCs w:val="20"/>
        </w:rPr>
        <w:t xml:space="preserve">aanzet hiertoe werd gegeven in de </w:t>
      </w:r>
      <w:r w:rsidR="00434E87">
        <w:rPr>
          <w:rFonts w:eastAsia="Times New Roman" w:cstheme="minorHAnsi"/>
          <w:sz w:val="20"/>
          <w:szCs w:val="20"/>
        </w:rPr>
        <w:t xml:space="preserve">kritische </w:t>
      </w:r>
      <w:r w:rsidR="006F1870">
        <w:rPr>
          <w:rFonts w:eastAsia="Times New Roman" w:cstheme="minorHAnsi"/>
          <w:sz w:val="20"/>
          <w:szCs w:val="20"/>
        </w:rPr>
        <w:t>jaarverslagen van de Nationale ombudsman</w:t>
      </w:r>
      <w:r w:rsidR="00434E87">
        <w:rPr>
          <w:rFonts w:eastAsia="Times New Roman" w:cstheme="minorHAnsi"/>
          <w:sz w:val="20"/>
          <w:szCs w:val="20"/>
        </w:rPr>
        <w:t xml:space="preserve"> over het overheidsoptreden. </w:t>
      </w:r>
    </w:p>
  </w:footnote>
  <w:footnote w:id="9">
    <w:p w14:paraId="3F3FA13D" w14:textId="15EBD7C1" w:rsidR="00862D37" w:rsidRPr="000408B8" w:rsidRDefault="00862D37" w:rsidP="00BE7FBD">
      <w:pPr>
        <w:rPr>
          <w:rFonts w:cstheme="minorHAnsi"/>
          <w:sz w:val="20"/>
          <w:szCs w:val="20"/>
        </w:rPr>
      </w:pPr>
      <w:r w:rsidRPr="000408B8">
        <w:rPr>
          <w:rStyle w:val="FootnoteReference"/>
          <w:rFonts w:cstheme="minorHAnsi"/>
          <w:sz w:val="20"/>
          <w:szCs w:val="20"/>
        </w:rPr>
        <w:footnoteRef/>
      </w:r>
      <w:r w:rsidRPr="000408B8">
        <w:rPr>
          <w:rFonts w:cstheme="minorHAnsi"/>
          <w:sz w:val="20"/>
          <w:szCs w:val="20"/>
        </w:rPr>
        <w:t xml:space="preserve"> </w:t>
      </w:r>
      <w:r w:rsidRPr="000408B8">
        <w:rPr>
          <w:rFonts w:cstheme="minorHAnsi"/>
          <w:color w:val="000000" w:themeColor="text1"/>
          <w:sz w:val="20"/>
          <w:szCs w:val="20"/>
        </w:rPr>
        <w:t>Vgl.</w:t>
      </w:r>
      <w:r w:rsidR="000408B8" w:rsidRPr="000408B8">
        <w:rPr>
          <w:rFonts w:cstheme="minorHAnsi"/>
          <w:color w:val="000000" w:themeColor="text1"/>
          <w:sz w:val="20"/>
          <w:szCs w:val="20"/>
        </w:rPr>
        <w:t xml:space="preserve"> D. </w:t>
      </w:r>
      <w:proofErr w:type="spellStart"/>
      <w:r w:rsidR="000408B8" w:rsidRPr="000408B8">
        <w:rPr>
          <w:rFonts w:cstheme="minorHAnsi"/>
          <w:sz w:val="20"/>
          <w:szCs w:val="20"/>
        </w:rPr>
        <w:t>Allewijn</w:t>
      </w:r>
      <w:proofErr w:type="spellEnd"/>
      <w:r w:rsidR="000408B8" w:rsidRPr="000408B8">
        <w:rPr>
          <w:rFonts w:cstheme="minorHAnsi"/>
          <w:sz w:val="20"/>
          <w:szCs w:val="20"/>
        </w:rPr>
        <w:t xml:space="preserve">, </w:t>
      </w:r>
      <w:r w:rsidR="00DA1D74">
        <w:rPr>
          <w:rFonts w:cstheme="minorHAnsi"/>
          <w:sz w:val="20"/>
          <w:szCs w:val="20"/>
        </w:rPr>
        <w:t>‘</w:t>
      </w:r>
      <w:r w:rsidR="000408B8" w:rsidRPr="000408B8">
        <w:rPr>
          <w:rFonts w:cstheme="minorHAnsi"/>
          <w:sz w:val="20"/>
          <w:szCs w:val="20"/>
        </w:rPr>
        <w:t>De transitie van autonoom naar responsief bestuursrecht</w:t>
      </w:r>
      <w:r w:rsidR="00DA1D74">
        <w:rPr>
          <w:rFonts w:cstheme="minorHAnsi"/>
          <w:sz w:val="20"/>
          <w:szCs w:val="20"/>
        </w:rPr>
        <w:t>’</w:t>
      </w:r>
      <w:r w:rsidR="000408B8" w:rsidRPr="000408B8">
        <w:rPr>
          <w:rFonts w:cstheme="minorHAnsi"/>
          <w:sz w:val="20"/>
          <w:szCs w:val="20"/>
        </w:rPr>
        <w:t xml:space="preserve">, Toespraak PCMO-conferentie, Amsterdam, 16 april 2016 en Y.E. Schuurmans, A.E.M. </w:t>
      </w:r>
      <w:proofErr w:type="spellStart"/>
      <w:r w:rsidR="000408B8" w:rsidRPr="000408B8">
        <w:rPr>
          <w:rFonts w:cstheme="minorHAnsi"/>
          <w:sz w:val="20"/>
          <w:szCs w:val="20"/>
        </w:rPr>
        <w:t>Leijten</w:t>
      </w:r>
      <w:proofErr w:type="spellEnd"/>
      <w:r w:rsidR="000408B8" w:rsidRPr="000408B8">
        <w:rPr>
          <w:rFonts w:cstheme="minorHAnsi"/>
          <w:sz w:val="20"/>
          <w:szCs w:val="20"/>
        </w:rPr>
        <w:t xml:space="preserve"> &amp; J.E. Esser, </w:t>
      </w:r>
      <w:r w:rsidR="000408B8" w:rsidRPr="000408B8">
        <w:rPr>
          <w:rFonts w:cstheme="minorHAnsi"/>
          <w:i/>
          <w:sz w:val="20"/>
          <w:szCs w:val="20"/>
        </w:rPr>
        <w:t>Bestuursrecht op Maat</w:t>
      </w:r>
      <w:r w:rsidR="000408B8" w:rsidRPr="000408B8">
        <w:rPr>
          <w:rFonts w:cstheme="minorHAnsi"/>
          <w:sz w:val="20"/>
          <w:szCs w:val="20"/>
        </w:rPr>
        <w:t xml:space="preserve">, Leiden: Universiteit Leiden, 2020. </w:t>
      </w:r>
    </w:p>
  </w:footnote>
  <w:footnote w:id="10">
    <w:p w14:paraId="7042860F" w14:textId="374327D2" w:rsidR="000408B8" w:rsidRPr="000408B8" w:rsidRDefault="00862D37" w:rsidP="00BE7FBD">
      <w:pPr>
        <w:rPr>
          <w:sz w:val="20"/>
          <w:szCs w:val="20"/>
          <w:lang w:val="en-US"/>
        </w:rPr>
      </w:pPr>
      <w:r w:rsidRPr="000408B8">
        <w:rPr>
          <w:rStyle w:val="FootnoteReference"/>
          <w:rFonts w:cstheme="minorHAnsi"/>
          <w:sz w:val="20"/>
          <w:szCs w:val="20"/>
        </w:rPr>
        <w:footnoteRef/>
      </w:r>
      <w:r w:rsidRPr="000408B8">
        <w:rPr>
          <w:sz w:val="20"/>
          <w:szCs w:val="20"/>
          <w:lang w:val="en-US"/>
        </w:rPr>
        <w:t xml:space="preserve"> </w:t>
      </w:r>
      <w:r w:rsidR="000408B8">
        <w:rPr>
          <w:sz w:val="20"/>
          <w:szCs w:val="20"/>
          <w:lang w:val="en-US"/>
        </w:rPr>
        <w:t xml:space="preserve">Ph. </w:t>
      </w:r>
      <w:r w:rsidR="000408B8" w:rsidRPr="000408B8">
        <w:rPr>
          <w:sz w:val="20"/>
          <w:szCs w:val="20"/>
          <w:lang w:val="en-US"/>
        </w:rPr>
        <w:t>Nonet</w:t>
      </w:r>
      <w:r w:rsidR="000408B8">
        <w:rPr>
          <w:sz w:val="20"/>
          <w:szCs w:val="20"/>
          <w:lang w:val="en-US"/>
        </w:rPr>
        <w:t xml:space="preserve"> </w:t>
      </w:r>
      <w:r w:rsidR="000408B8" w:rsidRPr="000408B8">
        <w:rPr>
          <w:sz w:val="20"/>
          <w:szCs w:val="20"/>
          <w:lang w:val="en-US"/>
        </w:rPr>
        <w:t xml:space="preserve">&amp; </w:t>
      </w:r>
      <w:r w:rsidR="000408B8">
        <w:rPr>
          <w:sz w:val="20"/>
          <w:szCs w:val="20"/>
          <w:lang w:val="en-US"/>
        </w:rPr>
        <w:t xml:space="preserve">PH. </w:t>
      </w:r>
      <w:r w:rsidR="000408B8" w:rsidRPr="000408B8">
        <w:rPr>
          <w:sz w:val="20"/>
          <w:szCs w:val="20"/>
          <w:lang w:val="en-US"/>
        </w:rPr>
        <w:t xml:space="preserve">Selznick, </w:t>
      </w:r>
      <w:r w:rsidR="000408B8" w:rsidRPr="000408B8">
        <w:rPr>
          <w:i/>
          <w:iCs/>
          <w:sz w:val="20"/>
          <w:szCs w:val="20"/>
          <w:lang w:val="en-US"/>
        </w:rPr>
        <w:t>Law &amp; Society in transition. Towards Responsive Law</w:t>
      </w:r>
      <w:r w:rsidR="000408B8" w:rsidRPr="000408B8">
        <w:rPr>
          <w:sz w:val="20"/>
          <w:szCs w:val="20"/>
          <w:lang w:val="en-US"/>
        </w:rPr>
        <w:t xml:space="preserve">. New </w:t>
      </w:r>
    </w:p>
    <w:p w14:paraId="284C23AD" w14:textId="265B6BE5" w:rsidR="00862D37" w:rsidRPr="000408B8" w:rsidRDefault="000408B8" w:rsidP="00BE7FBD">
      <w:pPr>
        <w:rPr>
          <w:sz w:val="20"/>
          <w:szCs w:val="20"/>
          <w:lang w:val="en-US"/>
        </w:rPr>
      </w:pPr>
      <w:r w:rsidRPr="000408B8">
        <w:rPr>
          <w:sz w:val="20"/>
          <w:szCs w:val="20"/>
          <w:lang w:val="en-US"/>
        </w:rPr>
        <w:t xml:space="preserve">Brunswick/Londen: Transaction Publishers, 2001. </w:t>
      </w:r>
    </w:p>
  </w:footnote>
  <w:footnote w:id="11">
    <w:p w14:paraId="7573635D" w14:textId="586EEABC" w:rsidR="001935E4" w:rsidRPr="00F33557" w:rsidRDefault="001935E4" w:rsidP="00BE7FBD">
      <w:pPr>
        <w:rPr>
          <w:rFonts w:eastAsia="Times New Roman" w:cstheme="minorHAnsi"/>
          <w:color w:val="FF0000"/>
          <w:sz w:val="20"/>
          <w:szCs w:val="20"/>
          <w:shd w:val="clear" w:color="auto" w:fill="FFFFFF"/>
          <w:lang w:eastAsia="nl-NL"/>
        </w:rPr>
      </w:pPr>
      <w:r w:rsidRPr="00F33557">
        <w:rPr>
          <w:rStyle w:val="FootnoteReference"/>
          <w:rFonts w:cstheme="minorHAnsi"/>
          <w:color w:val="000000" w:themeColor="text1"/>
          <w:sz w:val="20"/>
          <w:szCs w:val="20"/>
        </w:rPr>
        <w:footnoteRef/>
      </w:r>
      <w:r w:rsidRPr="00F33557">
        <w:rPr>
          <w:rFonts w:cstheme="minorHAnsi"/>
          <w:color w:val="000000" w:themeColor="text1"/>
          <w:sz w:val="20"/>
          <w:szCs w:val="20"/>
        </w:rPr>
        <w:t xml:space="preserve"> N. Doornbos, ‘Naar een meer responsief bestuursrecht? Verder bouwen aan het huis van de rechtsstaat’, in: A.T. Marseille e.a. (red.), </w:t>
      </w:r>
      <w:r w:rsidRPr="00F33557">
        <w:rPr>
          <w:rFonts w:cstheme="minorHAnsi"/>
          <w:i/>
          <w:color w:val="000000" w:themeColor="text1"/>
          <w:sz w:val="20"/>
          <w:szCs w:val="20"/>
        </w:rPr>
        <w:t xml:space="preserve">25 jaar </w:t>
      </w:r>
      <w:proofErr w:type="spellStart"/>
      <w:r w:rsidRPr="00F33557">
        <w:rPr>
          <w:rFonts w:cstheme="minorHAnsi"/>
          <w:i/>
          <w:color w:val="000000" w:themeColor="text1"/>
          <w:sz w:val="20"/>
          <w:szCs w:val="20"/>
        </w:rPr>
        <w:t>Awb</w:t>
      </w:r>
      <w:proofErr w:type="spellEnd"/>
      <w:r w:rsidRPr="00F33557">
        <w:rPr>
          <w:rFonts w:cstheme="minorHAnsi"/>
          <w:i/>
          <w:color w:val="000000" w:themeColor="text1"/>
          <w:sz w:val="20"/>
          <w:szCs w:val="20"/>
        </w:rPr>
        <w:t>. In eenheid en verscheidenheid</w:t>
      </w:r>
      <w:r w:rsidRPr="00F33557">
        <w:rPr>
          <w:rFonts w:cstheme="minorHAnsi"/>
          <w:color w:val="000000" w:themeColor="text1"/>
          <w:sz w:val="20"/>
          <w:szCs w:val="20"/>
        </w:rPr>
        <w:t xml:space="preserve">, </w:t>
      </w:r>
      <w:r w:rsidRPr="00EA5581">
        <w:rPr>
          <w:rFonts w:cstheme="minorHAnsi"/>
          <w:color w:val="000000" w:themeColor="text1"/>
          <w:sz w:val="20"/>
          <w:szCs w:val="20"/>
        </w:rPr>
        <w:t>Deventer: Wolters Kluwer, 2019, p. 567-578.</w:t>
      </w:r>
    </w:p>
  </w:footnote>
  <w:footnote w:id="12">
    <w:p w14:paraId="38AAD0FC" w14:textId="33517E81" w:rsidR="001935E4" w:rsidRDefault="001935E4" w:rsidP="00BE7FBD">
      <w:pPr>
        <w:pStyle w:val="FootnoteText"/>
      </w:pPr>
      <w:r>
        <w:rPr>
          <w:rStyle w:val="FootnoteReference"/>
        </w:rPr>
        <w:footnoteRef/>
      </w:r>
      <w:r>
        <w:t xml:space="preserve"> L</w:t>
      </w:r>
      <w:r w:rsidRPr="00F33557">
        <w:rPr>
          <w:rFonts w:cstheme="minorHAnsi"/>
          <w:color w:val="000000" w:themeColor="text1"/>
        </w:rPr>
        <w:t xml:space="preserve">. van den </w:t>
      </w:r>
      <w:r w:rsidRPr="00F33557">
        <w:rPr>
          <w:rFonts w:eastAsia="Times New Roman" w:cstheme="minorHAnsi"/>
          <w:color w:val="000000" w:themeColor="text1"/>
          <w:shd w:val="clear" w:color="auto" w:fill="FFFFFF"/>
          <w:lang w:eastAsia="nl-NL"/>
        </w:rPr>
        <w:t xml:space="preserve">Berge, Responsief bestuursrecht, in: </w:t>
      </w:r>
      <w:r w:rsidRPr="00F33557">
        <w:rPr>
          <w:rFonts w:eastAsia="Times New Roman" w:cstheme="minorHAnsi"/>
          <w:i/>
          <w:color w:val="000000" w:themeColor="text1"/>
          <w:shd w:val="clear" w:color="auto" w:fill="FFFFFF"/>
          <w:lang w:eastAsia="nl-NL"/>
        </w:rPr>
        <w:t>Maatwerk in het bestuursrecht. Preadviezen voor de VAR, vereniging voor bestuursrecht</w:t>
      </w:r>
      <w:r w:rsidRPr="00F33557">
        <w:rPr>
          <w:rFonts w:eastAsia="Times New Roman" w:cstheme="minorHAnsi"/>
          <w:color w:val="000000" w:themeColor="text1"/>
          <w:shd w:val="clear" w:color="auto" w:fill="FFFFFF"/>
          <w:lang w:eastAsia="nl-NL"/>
        </w:rPr>
        <w:t xml:space="preserve">, Den Haag: Boom Juridisch, 2020, p. 7-62; </w:t>
      </w:r>
      <w:r w:rsidRPr="00F33557">
        <w:rPr>
          <w:rFonts w:cstheme="minorHAnsi"/>
          <w:color w:val="000000" w:themeColor="text1"/>
        </w:rPr>
        <w:t xml:space="preserve">P de Beer, ‘Maatwerk is geen oplossing’, </w:t>
      </w:r>
      <w:r w:rsidRPr="00F33557">
        <w:rPr>
          <w:rFonts w:cstheme="minorHAnsi"/>
          <w:i/>
          <w:color w:val="000000" w:themeColor="text1"/>
        </w:rPr>
        <w:t>S&amp;D</w:t>
      </w:r>
      <w:r w:rsidRPr="00F33557">
        <w:rPr>
          <w:rFonts w:cstheme="minorHAnsi"/>
          <w:color w:val="000000" w:themeColor="text1"/>
        </w:rPr>
        <w:t>, 2021/5, p. 11-19</w:t>
      </w:r>
      <w:r>
        <w:rPr>
          <w:rFonts w:cstheme="minorHAnsi"/>
          <w:color w:val="000000" w:themeColor="text1"/>
        </w:rPr>
        <w:t>.</w:t>
      </w:r>
    </w:p>
  </w:footnote>
  <w:footnote w:id="13">
    <w:p w14:paraId="6116FD14" w14:textId="1DABD70E" w:rsidR="00367706" w:rsidRPr="00C84158" w:rsidRDefault="00367706" w:rsidP="00BE7FBD">
      <w:pPr>
        <w:pStyle w:val="EndnoteText"/>
        <w:rPr>
          <w:rFonts w:cstheme="minorHAnsi"/>
        </w:rPr>
      </w:pPr>
      <w:r w:rsidRPr="00C84158">
        <w:rPr>
          <w:rStyle w:val="FootnoteReference"/>
          <w:rFonts w:cstheme="minorHAnsi"/>
        </w:rPr>
        <w:footnoteRef/>
      </w:r>
      <w:r w:rsidRPr="00C84158">
        <w:rPr>
          <w:rFonts w:cstheme="minorHAnsi"/>
        </w:rPr>
        <w:t xml:space="preserve"> </w:t>
      </w:r>
      <w:r w:rsidR="00C84158" w:rsidRPr="00C84158">
        <w:rPr>
          <w:rFonts w:cstheme="minorHAnsi"/>
        </w:rPr>
        <w:t>Zie prettigcontactmetdeoverheid.nl</w:t>
      </w:r>
      <w:r w:rsidR="00C84158">
        <w:rPr>
          <w:rFonts w:cstheme="minorHAnsi"/>
        </w:rPr>
        <w:t>.</w:t>
      </w:r>
    </w:p>
  </w:footnote>
  <w:footnote w:id="14">
    <w:p w14:paraId="1B0FFFB1" w14:textId="646604A2" w:rsidR="0055109B" w:rsidRPr="00C84158" w:rsidRDefault="0055109B" w:rsidP="00BE7FBD">
      <w:pPr>
        <w:pStyle w:val="EndnoteText"/>
        <w:rPr>
          <w:rFonts w:cstheme="minorHAnsi"/>
        </w:rPr>
      </w:pPr>
      <w:r>
        <w:rPr>
          <w:rStyle w:val="FootnoteReference"/>
        </w:rPr>
        <w:footnoteRef/>
      </w:r>
      <w:r>
        <w:t xml:space="preserve"> </w:t>
      </w:r>
      <w:r w:rsidR="00C84158">
        <w:t xml:space="preserve">Zie </w:t>
      </w:r>
      <w:r w:rsidR="00C84158" w:rsidRPr="00C84158">
        <w:rPr>
          <w:rFonts w:cstheme="minorHAnsi"/>
        </w:rPr>
        <w:t xml:space="preserve">rechtspraak.nl. </w:t>
      </w:r>
    </w:p>
  </w:footnote>
  <w:footnote w:id="15">
    <w:p w14:paraId="1A43ACC7" w14:textId="5D77B66E" w:rsidR="005122A0" w:rsidRPr="00C84158" w:rsidRDefault="005122A0" w:rsidP="00BE7FBD">
      <w:pPr>
        <w:pStyle w:val="EndnoteText"/>
        <w:rPr>
          <w:rFonts w:cstheme="minorHAnsi"/>
        </w:rPr>
      </w:pPr>
      <w:r w:rsidRPr="00C84158">
        <w:rPr>
          <w:rStyle w:val="FootnoteReference"/>
          <w:rFonts w:cstheme="minorHAnsi"/>
        </w:rPr>
        <w:footnoteRef/>
      </w:r>
      <w:r w:rsidRPr="00C84158">
        <w:rPr>
          <w:rFonts w:cstheme="minorHAnsi"/>
        </w:rPr>
        <w:t xml:space="preserve"> Zie rechtspraak.nl. </w:t>
      </w:r>
    </w:p>
  </w:footnote>
  <w:footnote w:id="16">
    <w:p w14:paraId="4578B3B3" w14:textId="04F84822" w:rsidR="0055109B" w:rsidRPr="00493DA5" w:rsidRDefault="0055109B" w:rsidP="00BE7FBD">
      <w:pPr>
        <w:pStyle w:val="EndnoteText"/>
        <w:rPr>
          <w:rFonts w:cstheme="minorHAnsi"/>
        </w:rPr>
      </w:pPr>
      <w:r>
        <w:rPr>
          <w:rStyle w:val="FootnoteReference"/>
        </w:rPr>
        <w:footnoteRef/>
      </w:r>
      <w:r>
        <w:t xml:space="preserve"> </w:t>
      </w:r>
      <w:r w:rsidR="00493DA5">
        <w:t xml:space="preserve">Zie </w:t>
      </w:r>
      <w:r w:rsidR="00493DA5" w:rsidRPr="00C84158">
        <w:rPr>
          <w:rFonts w:cstheme="minorHAnsi"/>
        </w:rPr>
        <w:t xml:space="preserve">rechtspraak.nl. </w:t>
      </w:r>
    </w:p>
  </w:footnote>
  <w:footnote w:id="17">
    <w:p w14:paraId="295BF6AE" w14:textId="63C63484" w:rsidR="00780090" w:rsidRDefault="00780090" w:rsidP="00BE7FBD">
      <w:pPr>
        <w:pStyle w:val="FootnoteText"/>
      </w:pPr>
      <w:r>
        <w:rPr>
          <w:rStyle w:val="FootnoteReference"/>
        </w:rPr>
        <w:footnoteRef/>
      </w:r>
      <w:r w:rsidR="00853BB1">
        <w:t xml:space="preserve"> A.J. Akkermans, 2020. </w:t>
      </w:r>
    </w:p>
  </w:footnote>
  <w:footnote w:id="18">
    <w:p w14:paraId="25883DF7" w14:textId="4A5A3190" w:rsidR="00475677" w:rsidRPr="00C30A98" w:rsidRDefault="00475677" w:rsidP="00BE7FBD">
      <w:pPr>
        <w:rPr>
          <w:rFonts w:cstheme="minorHAnsi"/>
          <w:color w:val="000000" w:themeColor="text1"/>
          <w:sz w:val="20"/>
          <w:szCs w:val="20"/>
        </w:rPr>
      </w:pPr>
      <w:r w:rsidRPr="00682C5A">
        <w:rPr>
          <w:rStyle w:val="FootnoteReference"/>
          <w:rFonts w:cstheme="minorHAnsi"/>
          <w:sz w:val="20"/>
          <w:szCs w:val="20"/>
        </w:rPr>
        <w:footnoteRef/>
      </w:r>
      <w:r w:rsidRPr="00682C5A">
        <w:rPr>
          <w:rFonts w:cstheme="minorHAnsi"/>
          <w:sz w:val="20"/>
          <w:szCs w:val="20"/>
        </w:rPr>
        <w:t xml:space="preserve"> </w:t>
      </w:r>
      <w:r w:rsidR="00682C5A" w:rsidRPr="00682C5A">
        <w:rPr>
          <w:rFonts w:cstheme="minorHAnsi"/>
          <w:color w:val="000000" w:themeColor="text1"/>
          <w:sz w:val="20"/>
          <w:szCs w:val="20"/>
        </w:rPr>
        <w:t xml:space="preserve">ABP Topconsult, </w:t>
      </w:r>
      <w:r w:rsidR="00682C5A" w:rsidRPr="00682C5A">
        <w:rPr>
          <w:rFonts w:cstheme="minorHAnsi"/>
          <w:i/>
          <w:color w:val="000000" w:themeColor="text1"/>
          <w:sz w:val="20"/>
          <w:szCs w:val="20"/>
        </w:rPr>
        <w:t>Regels en Ruimte, Verkenning in dienstverlening en discretionaire ruimte</w:t>
      </w:r>
      <w:r w:rsidR="00682C5A" w:rsidRPr="00682C5A">
        <w:rPr>
          <w:rFonts w:cstheme="minorHAnsi"/>
          <w:color w:val="000000" w:themeColor="text1"/>
          <w:sz w:val="20"/>
          <w:szCs w:val="20"/>
        </w:rPr>
        <w:t xml:space="preserve">, Den Haag: ABP Topconsult, 209; </w:t>
      </w:r>
      <w:r w:rsidR="00682C5A" w:rsidRPr="00682C5A">
        <w:rPr>
          <w:rFonts w:cstheme="minorHAnsi"/>
          <w:sz w:val="20"/>
          <w:szCs w:val="20"/>
        </w:rPr>
        <w:t xml:space="preserve">Tijdelijke commissie Uitvoeringsorganisaties, </w:t>
      </w:r>
      <w:r w:rsidR="00682C5A" w:rsidRPr="00682C5A">
        <w:rPr>
          <w:rFonts w:cstheme="minorHAnsi"/>
          <w:i/>
          <w:sz w:val="20"/>
          <w:szCs w:val="20"/>
        </w:rPr>
        <w:t>Klem tussen balie en beleid</w:t>
      </w:r>
      <w:r w:rsidR="00682C5A" w:rsidRPr="00682C5A">
        <w:rPr>
          <w:rFonts w:cstheme="minorHAnsi"/>
          <w:sz w:val="20"/>
          <w:szCs w:val="20"/>
        </w:rPr>
        <w:t>, Den Haag: TCU, 2021.</w:t>
      </w:r>
    </w:p>
  </w:footnote>
  <w:footnote w:id="19">
    <w:p w14:paraId="110BE9F1" w14:textId="65DBEE5A" w:rsidR="00475677" w:rsidRPr="003468A3" w:rsidRDefault="00475677" w:rsidP="00BE7FBD">
      <w:pPr>
        <w:rPr>
          <w:rFonts w:eastAsia="Times New Roman" w:cstheme="minorHAnsi"/>
          <w:color w:val="000000"/>
          <w:sz w:val="20"/>
          <w:szCs w:val="20"/>
          <w:shd w:val="clear" w:color="auto" w:fill="FFFFFF"/>
          <w:lang w:eastAsia="nl-NL"/>
        </w:rPr>
      </w:pPr>
      <w:r w:rsidRPr="000408B8">
        <w:rPr>
          <w:rStyle w:val="FootnoteReference"/>
          <w:rFonts w:cstheme="minorHAnsi"/>
          <w:sz w:val="20"/>
          <w:szCs w:val="20"/>
        </w:rPr>
        <w:footnoteRef/>
      </w:r>
      <w:r w:rsidRPr="000408B8">
        <w:rPr>
          <w:rFonts w:cstheme="minorHAnsi"/>
          <w:sz w:val="20"/>
          <w:szCs w:val="20"/>
        </w:rPr>
        <w:t xml:space="preserve"> </w:t>
      </w:r>
      <w:r w:rsidRPr="000408B8">
        <w:rPr>
          <w:rFonts w:cstheme="minorHAnsi"/>
          <w:color w:val="000000" w:themeColor="text1"/>
          <w:sz w:val="20"/>
          <w:szCs w:val="20"/>
        </w:rPr>
        <w:t xml:space="preserve">M. </w:t>
      </w:r>
      <w:r w:rsidRPr="000408B8">
        <w:rPr>
          <w:rFonts w:eastAsia="Times New Roman" w:cstheme="minorHAnsi"/>
          <w:color w:val="000000"/>
          <w:sz w:val="20"/>
          <w:szCs w:val="20"/>
          <w:shd w:val="clear" w:color="auto" w:fill="FFFFFF"/>
          <w:lang w:eastAsia="nl-NL"/>
        </w:rPr>
        <w:t xml:space="preserve">Barendrecht &amp; M. Chabot, </w:t>
      </w:r>
      <w:r w:rsidRPr="000408B8">
        <w:rPr>
          <w:rFonts w:eastAsia="Times New Roman" w:cstheme="minorHAnsi"/>
          <w:i/>
          <w:iCs/>
          <w:color w:val="000000"/>
          <w:sz w:val="20"/>
          <w:szCs w:val="20"/>
          <w:shd w:val="clear" w:color="auto" w:fill="FFFFFF"/>
          <w:lang w:eastAsia="nl-NL"/>
        </w:rPr>
        <w:t>Het papieren paleis. De noodzaak van menselijker recht</w:t>
      </w:r>
      <w:r w:rsidRPr="000408B8">
        <w:rPr>
          <w:rFonts w:eastAsia="Times New Roman" w:cstheme="minorHAnsi"/>
          <w:color w:val="000000"/>
          <w:sz w:val="20"/>
          <w:szCs w:val="20"/>
          <w:shd w:val="clear" w:color="auto" w:fill="FFFFFF"/>
          <w:lang w:eastAsia="nl-NL"/>
        </w:rPr>
        <w:t xml:space="preserve">. Amsterdam: uitgeverij Balans, 2020. </w:t>
      </w:r>
      <w:r w:rsidR="00173529">
        <w:rPr>
          <w:rFonts w:eastAsia="Times New Roman" w:cstheme="minorHAnsi"/>
          <w:color w:val="000000"/>
          <w:sz w:val="20"/>
          <w:szCs w:val="20"/>
          <w:shd w:val="clear" w:color="auto" w:fill="FFFFFF"/>
          <w:lang w:eastAsia="nl-NL"/>
        </w:rPr>
        <w:t xml:space="preserve">Voor een beeld vanuit de rechtspraak: R. </w:t>
      </w:r>
      <w:proofErr w:type="spellStart"/>
      <w:r w:rsidR="00173529">
        <w:rPr>
          <w:rFonts w:eastAsia="Times New Roman" w:cstheme="minorHAnsi"/>
          <w:color w:val="000000"/>
          <w:sz w:val="20"/>
          <w:szCs w:val="20"/>
          <w:shd w:val="clear" w:color="auto" w:fill="FFFFFF"/>
          <w:lang w:eastAsia="nl-NL"/>
        </w:rPr>
        <w:t>Jue</w:t>
      </w:r>
      <w:proofErr w:type="spellEnd"/>
      <w:r w:rsidR="00173529">
        <w:rPr>
          <w:rFonts w:eastAsia="Times New Roman" w:cstheme="minorHAnsi"/>
          <w:color w:val="000000"/>
          <w:sz w:val="20"/>
          <w:szCs w:val="20"/>
          <w:shd w:val="clear" w:color="auto" w:fill="FFFFFF"/>
          <w:lang w:eastAsia="nl-NL"/>
        </w:rPr>
        <w:t xml:space="preserve">, Onrecht in de rechtsbescherming, Zutphen: uitgeverij Paris, 2022. </w:t>
      </w:r>
    </w:p>
  </w:footnote>
  <w:footnote w:id="20">
    <w:p w14:paraId="25515DD3" w14:textId="1FA02309" w:rsidR="00297BFE" w:rsidRPr="00CF1CB2" w:rsidRDefault="00297BFE" w:rsidP="00BE7FBD">
      <w:pPr>
        <w:pStyle w:val="EndnoteText"/>
        <w:rPr>
          <w:rFonts w:cstheme="minorHAnsi"/>
        </w:rPr>
      </w:pPr>
      <w:r w:rsidRPr="00CF1CB2">
        <w:rPr>
          <w:rStyle w:val="FootnoteReference"/>
          <w:rFonts w:cstheme="minorHAnsi"/>
        </w:rPr>
        <w:footnoteRef/>
      </w:r>
      <w:r w:rsidRPr="00CF1CB2">
        <w:rPr>
          <w:rFonts w:cstheme="minorHAnsi"/>
        </w:rPr>
        <w:t xml:space="preserve"> </w:t>
      </w:r>
      <w:r w:rsidRPr="00CF1CB2">
        <w:rPr>
          <w:rFonts w:cstheme="minorHAnsi"/>
          <w:i/>
          <w:iCs/>
        </w:rPr>
        <w:t>Kamerstukken II</w:t>
      </w:r>
      <w:r w:rsidRPr="00CF1CB2">
        <w:rPr>
          <w:rFonts w:cstheme="minorHAnsi"/>
        </w:rPr>
        <w:t xml:space="preserve">, 2020/21, 35510, </w:t>
      </w:r>
      <w:r w:rsidR="00550B41">
        <w:rPr>
          <w:rFonts w:cstheme="minorHAnsi"/>
        </w:rPr>
        <w:t xml:space="preserve">nr. </w:t>
      </w:r>
      <w:r w:rsidRPr="00CF1CB2">
        <w:rPr>
          <w:rFonts w:cstheme="minorHAnsi"/>
        </w:rPr>
        <w:t xml:space="preserve">4. </w:t>
      </w:r>
    </w:p>
  </w:footnote>
  <w:footnote w:id="21">
    <w:p w14:paraId="04E7B551" w14:textId="31C500DC" w:rsidR="00550B41" w:rsidRDefault="00550B41" w:rsidP="00BE7FBD">
      <w:pPr>
        <w:pStyle w:val="FootnoteText"/>
      </w:pPr>
      <w:r>
        <w:rPr>
          <w:rStyle w:val="FootnoteReference"/>
        </w:rPr>
        <w:footnoteRef/>
      </w:r>
      <w:r>
        <w:t xml:space="preserve"> </w:t>
      </w:r>
      <w:r w:rsidRPr="00550B41">
        <w:rPr>
          <w:rFonts w:eastAsia="Times New Roman" w:cstheme="minorHAnsi"/>
          <w:i/>
          <w:iCs/>
          <w:color w:val="000000" w:themeColor="text1"/>
        </w:rPr>
        <w:t>Kamerstukken II</w:t>
      </w:r>
      <w:r>
        <w:rPr>
          <w:rFonts w:eastAsia="Times New Roman" w:cstheme="minorHAnsi"/>
          <w:color w:val="000000" w:themeColor="text1"/>
        </w:rPr>
        <w:t xml:space="preserve">, 2020/21, </w:t>
      </w:r>
      <w:r w:rsidR="001F5BB8">
        <w:rPr>
          <w:rFonts w:eastAsia="Times New Roman" w:cstheme="minorHAnsi"/>
          <w:color w:val="000000" w:themeColor="text1"/>
        </w:rPr>
        <w:t>3</w:t>
      </w:r>
      <w:r>
        <w:rPr>
          <w:rFonts w:eastAsia="Times New Roman" w:cstheme="minorHAnsi"/>
          <w:color w:val="000000" w:themeColor="text1"/>
        </w:rPr>
        <w:t>5510, nr. 102.</w:t>
      </w:r>
    </w:p>
  </w:footnote>
  <w:footnote w:id="22">
    <w:p w14:paraId="0254DAE4" w14:textId="07AB3A16" w:rsidR="003468A3" w:rsidRDefault="003468A3" w:rsidP="00BE7FBD">
      <w:pPr>
        <w:pStyle w:val="FootnoteText"/>
      </w:pPr>
      <w:r>
        <w:rPr>
          <w:rStyle w:val="FootnoteReference"/>
        </w:rPr>
        <w:footnoteRef/>
      </w:r>
      <w:r>
        <w:t xml:space="preserve"> </w:t>
      </w:r>
      <w:r w:rsidRPr="00CF1CB2">
        <w:rPr>
          <w:rFonts w:cstheme="minorHAnsi"/>
          <w:i/>
          <w:iCs/>
        </w:rPr>
        <w:t>Kamerstukken II</w:t>
      </w:r>
      <w:r w:rsidRPr="00CF1CB2">
        <w:rPr>
          <w:rFonts w:cstheme="minorHAnsi"/>
        </w:rPr>
        <w:t>, 202</w:t>
      </w:r>
      <w:r>
        <w:rPr>
          <w:rFonts w:cstheme="minorHAnsi"/>
        </w:rPr>
        <w:t xml:space="preserve">2/23, 29279, </w:t>
      </w:r>
      <w:r w:rsidR="00550B41">
        <w:rPr>
          <w:rFonts w:cstheme="minorHAnsi"/>
        </w:rPr>
        <w:t xml:space="preserve">nr. </w:t>
      </w:r>
      <w:r>
        <w:rPr>
          <w:rFonts w:cstheme="minorHAnsi"/>
        </w:rPr>
        <w:t>763.</w:t>
      </w:r>
      <w:r w:rsidR="007525C2">
        <w:rPr>
          <w:rFonts w:cstheme="minorHAnsi"/>
        </w:rPr>
        <w:t xml:space="preserve"> Zie ook F.M. Weerwind, ‘Juridische vlinders’, </w:t>
      </w:r>
      <w:r w:rsidR="007525C2" w:rsidRPr="007525C2">
        <w:rPr>
          <w:rFonts w:cstheme="minorHAnsi"/>
          <w:i/>
          <w:iCs/>
        </w:rPr>
        <w:t>NTB</w:t>
      </w:r>
      <w:r w:rsidR="007525C2">
        <w:rPr>
          <w:rFonts w:cstheme="minorHAnsi"/>
        </w:rPr>
        <w:t>, 2023/2, p. 59-60.</w:t>
      </w:r>
    </w:p>
  </w:footnote>
  <w:footnote w:id="23">
    <w:p w14:paraId="4D3CAB94" w14:textId="615E873E" w:rsidR="00AC4759" w:rsidRPr="00EE272E" w:rsidRDefault="00AC4759" w:rsidP="00BE7FBD">
      <w:pPr>
        <w:pStyle w:val="FootnoteText"/>
      </w:pPr>
      <w:r>
        <w:rPr>
          <w:rStyle w:val="FootnoteReference"/>
        </w:rPr>
        <w:footnoteRef/>
      </w:r>
      <w:r w:rsidR="00EE272E" w:rsidRPr="00EE272E">
        <w:t xml:space="preserve"> Vgl. </w:t>
      </w:r>
      <w:r w:rsidR="00EE272E" w:rsidRPr="00340EE7">
        <w:rPr>
          <w:i/>
          <w:iCs/>
        </w:rPr>
        <w:t>Recht vinden bij de Rechtbank</w:t>
      </w:r>
      <w:r w:rsidR="00340EE7">
        <w:t xml:space="preserve">. </w:t>
      </w:r>
      <w:r w:rsidR="00340EE7" w:rsidRPr="00340EE7">
        <w:rPr>
          <w:i/>
          <w:iCs/>
        </w:rPr>
        <w:t>Lessen uit kinderopvangtoeslagzaken</w:t>
      </w:r>
      <w:r w:rsidR="00340EE7">
        <w:t>,</w:t>
      </w:r>
      <w:r w:rsidR="00EE272E">
        <w:t xml:space="preserve"> </w:t>
      </w:r>
      <w:r w:rsidR="00EE272E" w:rsidRPr="00EE272E">
        <w:t>Rapport werkgroep reflecti</w:t>
      </w:r>
      <w:r w:rsidR="00EE272E">
        <w:t xml:space="preserve">e toeslagenaffaire rechtbanken, </w:t>
      </w:r>
      <w:r w:rsidR="00340EE7">
        <w:t>Den Haag: de R</w:t>
      </w:r>
      <w:r w:rsidR="00EE272E">
        <w:t xml:space="preserve">echtspraak, </w:t>
      </w:r>
      <w:r w:rsidR="00340EE7">
        <w:t>2021.</w:t>
      </w:r>
    </w:p>
  </w:footnote>
  <w:footnote w:id="24">
    <w:p w14:paraId="2CA9B801" w14:textId="0604D895" w:rsidR="00AA58ED" w:rsidRPr="00B25962" w:rsidRDefault="009A30B4" w:rsidP="00BE7FBD">
      <w:pPr>
        <w:pStyle w:val="FootnoteText"/>
        <w:rPr>
          <w:color w:val="000000" w:themeColor="text1"/>
          <w:lang w:val="en-US"/>
        </w:rPr>
      </w:pPr>
      <w:r>
        <w:rPr>
          <w:rStyle w:val="FootnoteReference"/>
        </w:rPr>
        <w:footnoteRef/>
      </w:r>
      <w:r w:rsidRPr="00B25962">
        <w:rPr>
          <w:lang w:val="en-US"/>
        </w:rPr>
        <w:t xml:space="preserve"> </w:t>
      </w:r>
      <w:proofErr w:type="spellStart"/>
      <w:r w:rsidRPr="00B25962">
        <w:rPr>
          <w:color w:val="000000" w:themeColor="text1"/>
          <w:lang w:val="en-US"/>
        </w:rPr>
        <w:t>ABRvS</w:t>
      </w:r>
      <w:proofErr w:type="spellEnd"/>
      <w:r w:rsidRPr="00B25962">
        <w:rPr>
          <w:color w:val="000000" w:themeColor="text1"/>
          <w:lang w:val="en-US"/>
        </w:rPr>
        <w:t xml:space="preserve"> 2 </w:t>
      </w:r>
      <w:proofErr w:type="spellStart"/>
      <w:r w:rsidRPr="00B25962">
        <w:rPr>
          <w:color w:val="000000" w:themeColor="text1"/>
          <w:lang w:val="en-US"/>
        </w:rPr>
        <w:t>februari</w:t>
      </w:r>
      <w:proofErr w:type="spellEnd"/>
      <w:r w:rsidRPr="00B25962">
        <w:rPr>
          <w:color w:val="000000" w:themeColor="text1"/>
          <w:lang w:val="en-US"/>
        </w:rPr>
        <w:t xml:space="preserve"> 2022, ECLI:NL:RVS:2022:285.</w:t>
      </w:r>
    </w:p>
  </w:footnote>
  <w:footnote w:id="25">
    <w:p w14:paraId="1D6CC328" w14:textId="71A04DCC" w:rsidR="00AA58ED" w:rsidRDefault="00AA58ED" w:rsidP="00BE7FBD">
      <w:pPr>
        <w:pStyle w:val="FootnoteText"/>
      </w:pPr>
      <w:r>
        <w:rPr>
          <w:rStyle w:val="FootnoteReference"/>
        </w:rPr>
        <w:footnoteRef/>
      </w:r>
      <w:r>
        <w:t xml:space="preserve"> K.J. de Graaf</w:t>
      </w:r>
      <w:r w:rsidR="00110F09">
        <w:t xml:space="preserve"> &amp; A.T. Marseille, ‘Exit willekeurtoets. Bestuursrechtelijke toetsing aan evenredigheidsbeginsel na 2-2-22’, </w:t>
      </w:r>
      <w:r w:rsidR="00110F09" w:rsidRPr="00110F09">
        <w:rPr>
          <w:i/>
          <w:iCs/>
        </w:rPr>
        <w:t>Ars Aequi</w:t>
      </w:r>
      <w:r w:rsidR="00110F09">
        <w:t>, 2022/4, p. 306-314.</w:t>
      </w:r>
    </w:p>
  </w:footnote>
  <w:footnote w:id="26">
    <w:p w14:paraId="76E84996" w14:textId="478F9BB4" w:rsidR="00F12BDE" w:rsidRDefault="00F12BDE" w:rsidP="00BE7FBD">
      <w:pPr>
        <w:pStyle w:val="FootnoteText"/>
      </w:pPr>
      <w:r>
        <w:rPr>
          <w:rStyle w:val="FootnoteReference"/>
        </w:rPr>
        <w:footnoteRef/>
      </w:r>
      <w:r>
        <w:t xml:space="preserve"> </w:t>
      </w:r>
      <w:r w:rsidRPr="00F12BDE">
        <w:rPr>
          <w:i/>
          <w:iCs/>
        </w:rPr>
        <w:t>Kamerstukken II,</w:t>
      </w:r>
      <w:r>
        <w:t xml:space="preserve"> 2020/21, 29362, </w:t>
      </w:r>
      <w:r w:rsidR="008D113B">
        <w:t xml:space="preserve">nr. </w:t>
      </w:r>
      <w:r>
        <w:t xml:space="preserve">295. </w:t>
      </w:r>
      <w:r w:rsidR="00CD189E">
        <w:t>Zie</w:t>
      </w:r>
      <w:r w:rsidR="00015610">
        <w:t xml:space="preserve"> </w:t>
      </w:r>
      <w:r w:rsidR="007525C2">
        <w:t xml:space="preserve">ook </w:t>
      </w:r>
      <w:r w:rsidR="00CD189E" w:rsidRPr="00015610">
        <w:rPr>
          <w:i/>
          <w:iCs/>
        </w:rPr>
        <w:t>Kamerstukken II</w:t>
      </w:r>
      <w:r w:rsidR="00CD189E">
        <w:t>, 2021/22, 35510, nr. 102.</w:t>
      </w:r>
    </w:p>
  </w:footnote>
  <w:footnote w:id="27">
    <w:p w14:paraId="17B8CB95" w14:textId="736B3D84" w:rsidR="001E4115" w:rsidRDefault="001E4115" w:rsidP="00BE7FBD">
      <w:pPr>
        <w:pStyle w:val="FootnoteText"/>
      </w:pPr>
      <w:r>
        <w:rPr>
          <w:rStyle w:val="FootnoteReference"/>
        </w:rPr>
        <w:footnoteRef/>
      </w:r>
      <w:r>
        <w:t xml:space="preserve"> Zie ook Th. Jansen </w:t>
      </w:r>
      <w:r w:rsidR="001B7FC0">
        <w:t xml:space="preserve">&amp; H. Wilmink, </w:t>
      </w:r>
      <w:r>
        <w:t xml:space="preserve">e.a., ‘Het viervoudig recht op ambtelijk vakmanschap’, in: Th. Jansen </w:t>
      </w:r>
      <w:r w:rsidR="001B7FC0">
        <w:t xml:space="preserve">en H. Wilmink </w:t>
      </w:r>
      <w:r>
        <w:t xml:space="preserve">e.a. (red.), </w:t>
      </w:r>
      <w:r w:rsidRPr="001E4115">
        <w:rPr>
          <w:i/>
          <w:iCs/>
        </w:rPr>
        <w:t>Het recht op ambtelijk vakmanschap</w:t>
      </w:r>
      <w:r>
        <w:t>, Stichting Beroepseer, 2022</w:t>
      </w:r>
      <w:r w:rsidR="001B7FC0">
        <w:t>, p. 219-226.</w:t>
      </w:r>
    </w:p>
  </w:footnote>
  <w:footnote w:id="28">
    <w:p w14:paraId="079C3E20" w14:textId="14B8768A" w:rsidR="00F61230" w:rsidRDefault="00F61230">
      <w:pPr>
        <w:pStyle w:val="FootnoteText"/>
      </w:pPr>
      <w:r>
        <w:rPr>
          <w:rStyle w:val="FootnoteReference"/>
        </w:rPr>
        <w:footnoteRef/>
      </w:r>
      <w:r>
        <w:t xml:space="preserve"> A.G. Mein, </w:t>
      </w:r>
      <w:r w:rsidRPr="00F61230">
        <w:rPr>
          <w:i/>
          <w:iCs/>
        </w:rPr>
        <w:t>De boete uit balans. Het gebruik van de bestuurlijke boete in het financieel toezicht</w:t>
      </w:r>
      <w:r>
        <w:t xml:space="preserve"> (</w:t>
      </w:r>
      <w:proofErr w:type="spellStart"/>
      <w:r>
        <w:t>diss</w:t>
      </w:r>
      <w:proofErr w:type="spellEnd"/>
      <w:r>
        <w:t xml:space="preserve">. EUR), De Haag, Boom Lemma, 2015. </w:t>
      </w:r>
    </w:p>
  </w:footnote>
  <w:footnote w:id="29">
    <w:p w14:paraId="21ECE58C" w14:textId="76833E25" w:rsidR="00D80B12" w:rsidRPr="00C20952" w:rsidRDefault="00D80B12">
      <w:pPr>
        <w:pStyle w:val="FootnoteText"/>
      </w:pPr>
      <w:r>
        <w:rPr>
          <w:rStyle w:val="FootnoteReference"/>
        </w:rPr>
        <w:footnoteRef/>
      </w:r>
      <w:r w:rsidR="00EB0A87" w:rsidRPr="00C20952">
        <w:t xml:space="preserve"> Vgl. </w:t>
      </w:r>
      <w:proofErr w:type="spellStart"/>
      <w:r w:rsidR="00EB0A87" w:rsidRPr="00C20952">
        <w:t>CBb</w:t>
      </w:r>
      <w:proofErr w:type="spellEnd"/>
      <w:r w:rsidR="00EB0A87" w:rsidRPr="00C20952">
        <w:t xml:space="preserve">, </w:t>
      </w:r>
      <w:r w:rsidR="00C20952" w:rsidRPr="00C20952">
        <w:t>2 november 2021, ECLI:Nl:CBB:2021:967</w:t>
      </w:r>
      <w:r w:rsidR="00B27D7E">
        <w:t xml:space="preserve">. Zie verder </w:t>
      </w:r>
      <w:r w:rsidR="00C20952" w:rsidRPr="00C20952">
        <w:t>A.J. Boorsma, M. Koppe</w:t>
      </w:r>
      <w:r w:rsidR="00C20952">
        <w:t xml:space="preserve">nol &amp; M. Feenstra, ‘Kroniek Toezicht en Handhaving, </w:t>
      </w:r>
      <w:r w:rsidR="00C20952" w:rsidRPr="00C20952">
        <w:rPr>
          <w:i/>
          <w:iCs/>
        </w:rPr>
        <w:t>Tijdschrift voor Financieel Toezicht</w:t>
      </w:r>
      <w:r w:rsidR="00C20952">
        <w:t>, 2022/6, p. 148-157.</w:t>
      </w:r>
    </w:p>
  </w:footnote>
  <w:footnote w:id="30">
    <w:p w14:paraId="267471D4" w14:textId="2435BB8A" w:rsidR="00262116" w:rsidRDefault="00262116">
      <w:pPr>
        <w:pStyle w:val="FootnoteText"/>
      </w:pPr>
      <w:r>
        <w:rPr>
          <w:rStyle w:val="FootnoteReference"/>
        </w:rPr>
        <w:footnoteRef/>
      </w:r>
      <w:r>
        <w:t xml:space="preserve"> </w:t>
      </w:r>
      <w:r w:rsidR="007A6D89">
        <w:t xml:space="preserve">A.G. </w:t>
      </w:r>
      <w:r>
        <w:t xml:space="preserve">Mein, 2015. </w:t>
      </w:r>
    </w:p>
  </w:footnote>
  <w:footnote w:id="31">
    <w:p w14:paraId="6D9B7B2C" w14:textId="75B49FA0" w:rsidR="007B1EF5" w:rsidRDefault="007B1EF5" w:rsidP="007B1EF5">
      <w:pPr>
        <w:pStyle w:val="FootnoteText"/>
      </w:pPr>
      <w:r>
        <w:rPr>
          <w:rStyle w:val="FootnoteReference"/>
        </w:rPr>
        <w:footnoteRef/>
      </w:r>
      <w:r>
        <w:t xml:space="preserve"> Vgl. L. Hulst, B. Marseille &amp; N. Steenhagen, 2022. </w:t>
      </w:r>
    </w:p>
  </w:footnote>
  <w:footnote w:id="32">
    <w:p w14:paraId="0C245A12" w14:textId="2858F647" w:rsidR="00F27DBE" w:rsidRDefault="00F27DBE">
      <w:pPr>
        <w:pStyle w:val="FootnoteText"/>
      </w:pPr>
      <w:r>
        <w:rPr>
          <w:rStyle w:val="FootnoteReference"/>
        </w:rPr>
        <w:footnoteRef/>
      </w:r>
      <w:r>
        <w:t xml:space="preserve"> WRR, </w:t>
      </w:r>
      <w:r w:rsidRPr="00F27DBE">
        <w:rPr>
          <w:i/>
          <w:iCs/>
        </w:rPr>
        <w:t xml:space="preserve">Toezien op publieke belangen. Naar een verruimd perspectief op </w:t>
      </w:r>
      <w:proofErr w:type="spellStart"/>
      <w:r w:rsidRPr="00F27DBE">
        <w:rPr>
          <w:i/>
          <w:iCs/>
        </w:rPr>
        <w:t>rijkstoezicht</w:t>
      </w:r>
      <w:proofErr w:type="spellEnd"/>
      <w:r>
        <w:t xml:space="preserve">, WRR: Amsterdam University Press, 2013. </w:t>
      </w:r>
    </w:p>
  </w:footnote>
  <w:footnote w:id="33">
    <w:p w14:paraId="26B4A305" w14:textId="26466FFA" w:rsidR="004610F0" w:rsidRPr="004610F0" w:rsidRDefault="004610F0" w:rsidP="004610F0">
      <w:pPr>
        <w:pStyle w:val="FootnoteText"/>
      </w:pPr>
      <w:r>
        <w:rPr>
          <w:rStyle w:val="FootnoteReference"/>
        </w:rPr>
        <w:footnoteRef/>
      </w:r>
      <w:r w:rsidRPr="004610F0">
        <w:t xml:space="preserve"> Op basis van </w:t>
      </w:r>
      <w:r w:rsidR="00111C25">
        <w:t xml:space="preserve">de zogenoemde Harderwijkuitspraak: </w:t>
      </w:r>
      <w:proofErr w:type="spellStart"/>
      <w:r w:rsidRPr="004610F0">
        <w:t>ABRvS</w:t>
      </w:r>
      <w:proofErr w:type="spellEnd"/>
      <w:r w:rsidRPr="004610F0">
        <w:t xml:space="preserve"> 2 februari 2022, ECLI:NL:RVS:2022:285.</w:t>
      </w:r>
    </w:p>
  </w:footnote>
  <w:footnote w:id="34">
    <w:p w14:paraId="7E1E4F62" w14:textId="63C70884" w:rsidR="005B2E3B" w:rsidRPr="0095619A" w:rsidRDefault="005B2E3B">
      <w:pPr>
        <w:pStyle w:val="FootnoteText"/>
      </w:pPr>
      <w:r w:rsidRPr="0095619A">
        <w:rPr>
          <w:rStyle w:val="FootnoteReference"/>
          <w:color w:val="000000" w:themeColor="text1"/>
        </w:rPr>
        <w:footnoteRef/>
      </w:r>
      <w:r w:rsidRPr="0095619A">
        <w:rPr>
          <w:color w:val="000000" w:themeColor="text1"/>
        </w:rPr>
        <w:t xml:space="preserve"> Zie </w:t>
      </w:r>
      <w:r w:rsidR="0095619A" w:rsidRPr="0095619A">
        <w:rPr>
          <w:color w:val="000000" w:themeColor="text1"/>
        </w:rPr>
        <w:t xml:space="preserve">noot 28. </w:t>
      </w:r>
    </w:p>
  </w:footnote>
  <w:footnote w:id="35">
    <w:p w14:paraId="0E77B54E" w14:textId="28E81581" w:rsidR="00266ADF" w:rsidRDefault="00266ADF">
      <w:pPr>
        <w:pStyle w:val="FootnoteText"/>
      </w:pPr>
      <w:r>
        <w:rPr>
          <w:rStyle w:val="FootnoteReference"/>
        </w:rPr>
        <w:footnoteRef/>
      </w:r>
      <w:r>
        <w:t xml:space="preserve"> Terughoudender</w:t>
      </w:r>
      <w:r w:rsidR="00262116">
        <w:t xml:space="preserve"> lijkt </w:t>
      </w:r>
      <w:r>
        <w:t xml:space="preserve">C. de Rond, ‘Een indringende evenredigheidstoets bij bestuurlijke maatregelen – </w:t>
      </w:r>
      <w:proofErr w:type="spellStart"/>
      <w:r>
        <w:t>what’s</w:t>
      </w:r>
      <w:proofErr w:type="spellEnd"/>
      <w:r>
        <w:t xml:space="preserve"> new?’, </w:t>
      </w:r>
      <w:r w:rsidRPr="00555E63">
        <w:rPr>
          <w:i/>
          <w:iCs/>
        </w:rPr>
        <w:t>Tijdschrift voor Toezicht</w:t>
      </w:r>
      <w:r>
        <w:t xml:space="preserve"> 2022/1, p. 44-49.</w:t>
      </w:r>
    </w:p>
  </w:footnote>
  <w:footnote w:id="36">
    <w:p w14:paraId="7C02D821" w14:textId="1E28D7F2" w:rsidR="005933D8" w:rsidRDefault="005933D8">
      <w:pPr>
        <w:pStyle w:val="FootnoteText"/>
      </w:pPr>
      <w:r>
        <w:rPr>
          <w:rStyle w:val="FootnoteReference"/>
        </w:rPr>
        <w:footnoteRef/>
      </w:r>
      <w:r>
        <w:t xml:space="preserve"> Voor de goede orde: met gemakkelijk bedoel ik niet lichtzinnig. </w:t>
      </w:r>
    </w:p>
  </w:footnote>
  <w:footnote w:id="37">
    <w:p w14:paraId="3CE8FFF2" w14:textId="0DAC4F7F" w:rsidR="0042272F" w:rsidRDefault="0042272F">
      <w:pPr>
        <w:pStyle w:val="FootnoteText"/>
      </w:pPr>
      <w:r>
        <w:rPr>
          <w:rStyle w:val="FootnoteReference"/>
        </w:rPr>
        <w:footnoteRef/>
      </w:r>
      <w:r>
        <w:t xml:space="preserve"> Zie </w:t>
      </w:r>
      <w:r w:rsidR="00266ADF">
        <w:t xml:space="preserve">voor een kritischer rechterlijke toetsing </w:t>
      </w:r>
      <w:r>
        <w:t>E</w:t>
      </w:r>
      <w:r w:rsidRPr="008A186C">
        <w:t>.M.H. Hirsch Ballin, ‘Dynamiek in de</w:t>
      </w:r>
      <w:r>
        <w:t xml:space="preserve"> bestuursrechtspraak’, in: E.M.H. Hirsch Ballin, R. Ortlep &amp; A. Tollenaar, </w:t>
      </w:r>
      <w:r w:rsidRPr="003E0914">
        <w:rPr>
          <w:i/>
          <w:iCs/>
        </w:rPr>
        <w:t>Rechtsontwikkeling door de bestuursrechter</w:t>
      </w:r>
      <w:r>
        <w:t xml:space="preserve"> (VAR-reeks 154), Den Haag: Boom Juridische uitgevers, 2015, p. 7-58.</w:t>
      </w:r>
    </w:p>
  </w:footnote>
  <w:footnote w:id="38">
    <w:p w14:paraId="48AB5EB1" w14:textId="5C4DD8CC" w:rsidR="0072712D" w:rsidRDefault="0072712D">
      <w:pPr>
        <w:pStyle w:val="FootnoteText"/>
      </w:pPr>
      <w:r>
        <w:rPr>
          <w:rStyle w:val="FootnoteReference"/>
        </w:rPr>
        <w:footnoteRef/>
      </w:r>
      <w:r>
        <w:t xml:space="preserve"> </w:t>
      </w:r>
      <w:r w:rsidR="00B71E09">
        <w:t xml:space="preserve">H.E. </w:t>
      </w:r>
      <w:proofErr w:type="spellStart"/>
      <w:r w:rsidR="00B71E09">
        <w:t>Br</w:t>
      </w:r>
      <w:r w:rsidR="00B71E09">
        <w:rPr>
          <w:rFonts w:cstheme="minorHAnsi"/>
        </w:rPr>
        <w:t>ö</w:t>
      </w:r>
      <w:r w:rsidR="00B71E09">
        <w:t>ring</w:t>
      </w:r>
      <w:proofErr w:type="spellEnd"/>
      <w:r w:rsidR="00B71E09">
        <w:t xml:space="preserve">, ‘Het evenredigheidsbeginsel als gedragsnorm voor het overheidsbestuur’, </w:t>
      </w:r>
      <w:r w:rsidR="00B71E09" w:rsidRPr="006F0279">
        <w:rPr>
          <w:i/>
          <w:iCs/>
        </w:rPr>
        <w:t>Ars Aequi</w:t>
      </w:r>
      <w:r w:rsidR="00B71E09">
        <w:t xml:space="preserve"> </w:t>
      </w:r>
      <w:r w:rsidR="00B71E09" w:rsidRPr="00AD5608">
        <w:rPr>
          <w:color w:val="000000" w:themeColor="text1"/>
        </w:rPr>
        <w:t xml:space="preserve">2022/10, p. </w:t>
      </w:r>
      <w:r w:rsidR="00B71E09">
        <w:t xml:space="preserve">755-765. Zie ook </w:t>
      </w:r>
      <w:r w:rsidR="00266ADF">
        <w:t xml:space="preserve">C. de Rond, 2022. </w:t>
      </w:r>
      <w:r w:rsidR="00C20952">
        <w:t xml:space="preserve">Zie ook M. Feenstra, ‘De toets aan het evenredigheidsbeginsel bij bestuurlijke maatregelen en herstelsancties’, </w:t>
      </w:r>
      <w:r w:rsidR="00C20952" w:rsidRPr="00C20952">
        <w:rPr>
          <w:i/>
          <w:iCs/>
        </w:rPr>
        <w:t>NTB</w:t>
      </w:r>
      <w:r w:rsidR="00C20952">
        <w:t>, 2022/10, p. 591-599.</w:t>
      </w:r>
    </w:p>
  </w:footnote>
  <w:footnote w:id="39">
    <w:p w14:paraId="073A0B60" w14:textId="378934CF" w:rsidR="00373E61" w:rsidRDefault="00373E61">
      <w:pPr>
        <w:pStyle w:val="FootnoteText"/>
      </w:pPr>
      <w:r>
        <w:rPr>
          <w:rStyle w:val="FootnoteReference"/>
        </w:rPr>
        <w:footnoteRef/>
      </w:r>
      <w:r>
        <w:t xml:space="preserve"> Zie d</w:t>
      </w:r>
      <w:r w:rsidR="00C611D1">
        <w:t>e</w:t>
      </w:r>
      <w:r>
        <w:t xml:space="preserve"> website van de AFM.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46BCC"/>
    <w:multiLevelType w:val="hybridMultilevel"/>
    <w:tmpl w:val="A9D00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1E1206"/>
    <w:multiLevelType w:val="multilevel"/>
    <w:tmpl w:val="C896C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4F66B4"/>
    <w:multiLevelType w:val="multilevel"/>
    <w:tmpl w:val="9F680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9168544">
    <w:abstractNumId w:val="1"/>
  </w:num>
  <w:num w:numId="2" w16cid:durableId="780031715">
    <w:abstractNumId w:val="0"/>
  </w:num>
  <w:num w:numId="3" w16cid:durableId="60812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1C"/>
    <w:rsid w:val="000039D6"/>
    <w:rsid w:val="00015610"/>
    <w:rsid w:val="00017451"/>
    <w:rsid w:val="00034A61"/>
    <w:rsid w:val="000408B8"/>
    <w:rsid w:val="00047648"/>
    <w:rsid w:val="000505FB"/>
    <w:rsid w:val="000552C5"/>
    <w:rsid w:val="000561FF"/>
    <w:rsid w:val="00076A0B"/>
    <w:rsid w:val="00091B1F"/>
    <w:rsid w:val="00093701"/>
    <w:rsid w:val="000E068E"/>
    <w:rsid w:val="000F1C41"/>
    <w:rsid w:val="00110F09"/>
    <w:rsid w:val="00111C25"/>
    <w:rsid w:val="001172EE"/>
    <w:rsid w:val="00132B7D"/>
    <w:rsid w:val="00141FB3"/>
    <w:rsid w:val="00145BBF"/>
    <w:rsid w:val="00173529"/>
    <w:rsid w:val="001923BD"/>
    <w:rsid w:val="001935E4"/>
    <w:rsid w:val="00196366"/>
    <w:rsid w:val="001A1C7D"/>
    <w:rsid w:val="001B2362"/>
    <w:rsid w:val="001B6D4F"/>
    <w:rsid w:val="001B7FC0"/>
    <w:rsid w:val="001D3370"/>
    <w:rsid w:val="001E4115"/>
    <w:rsid w:val="001E5843"/>
    <w:rsid w:val="001F1647"/>
    <w:rsid w:val="001F5BB8"/>
    <w:rsid w:val="0021178E"/>
    <w:rsid w:val="00227103"/>
    <w:rsid w:val="0023501F"/>
    <w:rsid w:val="0023790E"/>
    <w:rsid w:val="00262116"/>
    <w:rsid w:val="00266ADF"/>
    <w:rsid w:val="002722CD"/>
    <w:rsid w:val="0027687B"/>
    <w:rsid w:val="00282F4C"/>
    <w:rsid w:val="00296922"/>
    <w:rsid w:val="00297BFE"/>
    <w:rsid w:val="002A2543"/>
    <w:rsid w:val="002D7702"/>
    <w:rsid w:val="002E3912"/>
    <w:rsid w:val="002E4DFA"/>
    <w:rsid w:val="002E7A59"/>
    <w:rsid w:val="002F32C1"/>
    <w:rsid w:val="003148D9"/>
    <w:rsid w:val="00324C1B"/>
    <w:rsid w:val="00324EF6"/>
    <w:rsid w:val="00332AC7"/>
    <w:rsid w:val="00340EE7"/>
    <w:rsid w:val="003468A3"/>
    <w:rsid w:val="00367706"/>
    <w:rsid w:val="00371983"/>
    <w:rsid w:val="00373E61"/>
    <w:rsid w:val="00380B46"/>
    <w:rsid w:val="003902C5"/>
    <w:rsid w:val="003950D6"/>
    <w:rsid w:val="003C4800"/>
    <w:rsid w:val="003C4FD6"/>
    <w:rsid w:val="003D1A6E"/>
    <w:rsid w:val="003D2867"/>
    <w:rsid w:val="003D6CED"/>
    <w:rsid w:val="003D71A8"/>
    <w:rsid w:val="00400B58"/>
    <w:rsid w:val="00405A1D"/>
    <w:rsid w:val="0040625E"/>
    <w:rsid w:val="0040659B"/>
    <w:rsid w:val="004070BF"/>
    <w:rsid w:val="004074C7"/>
    <w:rsid w:val="00407B9B"/>
    <w:rsid w:val="0042272F"/>
    <w:rsid w:val="004327CB"/>
    <w:rsid w:val="00434E87"/>
    <w:rsid w:val="0043634F"/>
    <w:rsid w:val="00436DDC"/>
    <w:rsid w:val="00447732"/>
    <w:rsid w:val="0046087E"/>
    <w:rsid w:val="004610F0"/>
    <w:rsid w:val="00464C66"/>
    <w:rsid w:val="00475677"/>
    <w:rsid w:val="00483821"/>
    <w:rsid w:val="00493DA5"/>
    <w:rsid w:val="004A6B63"/>
    <w:rsid w:val="004B1B6E"/>
    <w:rsid w:val="004C271B"/>
    <w:rsid w:val="004C7BEE"/>
    <w:rsid w:val="004E37B1"/>
    <w:rsid w:val="004E3D45"/>
    <w:rsid w:val="005059D2"/>
    <w:rsid w:val="005122A0"/>
    <w:rsid w:val="00522945"/>
    <w:rsid w:val="00522D73"/>
    <w:rsid w:val="0052645C"/>
    <w:rsid w:val="00532047"/>
    <w:rsid w:val="00550B41"/>
    <w:rsid w:val="0055109B"/>
    <w:rsid w:val="005637F8"/>
    <w:rsid w:val="00587FB2"/>
    <w:rsid w:val="005933D8"/>
    <w:rsid w:val="005A5EA8"/>
    <w:rsid w:val="005B2E3B"/>
    <w:rsid w:val="005B3CB1"/>
    <w:rsid w:val="005B598F"/>
    <w:rsid w:val="005B6203"/>
    <w:rsid w:val="005C1DBE"/>
    <w:rsid w:val="005C5AB3"/>
    <w:rsid w:val="005E3F79"/>
    <w:rsid w:val="00645DC7"/>
    <w:rsid w:val="00646CD9"/>
    <w:rsid w:val="006821A3"/>
    <w:rsid w:val="00682C5A"/>
    <w:rsid w:val="00694FBE"/>
    <w:rsid w:val="006957E2"/>
    <w:rsid w:val="006A7C3E"/>
    <w:rsid w:val="006B4A5B"/>
    <w:rsid w:val="006B7B36"/>
    <w:rsid w:val="006F0FDE"/>
    <w:rsid w:val="006F1870"/>
    <w:rsid w:val="00705494"/>
    <w:rsid w:val="0072712D"/>
    <w:rsid w:val="007501F5"/>
    <w:rsid w:val="007525C2"/>
    <w:rsid w:val="007562E8"/>
    <w:rsid w:val="00764D23"/>
    <w:rsid w:val="00780090"/>
    <w:rsid w:val="00782A35"/>
    <w:rsid w:val="00791077"/>
    <w:rsid w:val="00797A51"/>
    <w:rsid w:val="007A6D89"/>
    <w:rsid w:val="007B1EF5"/>
    <w:rsid w:val="007D55FA"/>
    <w:rsid w:val="007D6A70"/>
    <w:rsid w:val="007E2C83"/>
    <w:rsid w:val="007F4DFE"/>
    <w:rsid w:val="007F7854"/>
    <w:rsid w:val="008047F3"/>
    <w:rsid w:val="0080778C"/>
    <w:rsid w:val="00816ACB"/>
    <w:rsid w:val="00830BEC"/>
    <w:rsid w:val="008329DF"/>
    <w:rsid w:val="00836FCB"/>
    <w:rsid w:val="00844254"/>
    <w:rsid w:val="0084505A"/>
    <w:rsid w:val="00853BB1"/>
    <w:rsid w:val="00862D37"/>
    <w:rsid w:val="008765DF"/>
    <w:rsid w:val="008B3A68"/>
    <w:rsid w:val="008B586D"/>
    <w:rsid w:val="008C246A"/>
    <w:rsid w:val="008C4F15"/>
    <w:rsid w:val="008C658C"/>
    <w:rsid w:val="008D113B"/>
    <w:rsid w:val="008D7FD2"/>
    <w:rsid w:val="00912D06"/>
    <w:rsid w:val="009212B7"/>
    <w:rsid w:val="009220AE"/>
    <w:rsid w:val="00935F49"/>
    <w:rsid w:val="00950085"/>
    <w:rsid w:val="0095619A"/>
    <w:rsid w:val="009601B9"/>
    <w:rsid w:val="00985936"/>
    <w:rsid w:val="009A0D79"/>
    <w:rsid w:val="009A30B4"/>
    <w:rsid w:val="009A63F0"/>
    <w:rsid w:val="009B4E64"/>
    <w:rsid w:val="009B50E2"/>
    <w:rsid w:val="009B6853"/>
    <w:rsid w:val="00A15548"/>
    <w:rsid w:val="00A50CA8"/>
    <w:rsid w:val="00A51493"/>
    <w:rsid w:val="00A55F55"/>
    <w:rsid w:val="00A619B4"/>
    <w:rsid w:val="00A71FD3"/>
    <w:rsid w:val="00AA58ED"/>
    <w:rsid w:val="00AC4759"/>
    <w:rsid w:val="00AD2B3C"/>
    <w:rsid w:val="00AE6E8E"/>
    <w:rsid w:val="00AF58F8"/>
    <w:rsid w:val="00B25962"/>
    <w:rsid w:val="00B27D7E"/>
    <w:rsid w:val="00B4232E"/>
    <w:rsid w:val="00B56929"/>
    <w:rsid w:val="00B71E09"/>
    <w:rsid w:val="00B82195"/>
    <w:rsid w:val="00B83B0F"/>
    <w:rsid w:val="00B87612"/>
    <w:rsid w:val="00BC450B"/>
    <w:rsid w:val="00BE5BBD"/>
    <w:rsid w:val="00BE7FBD"/>
    <w:rsid w:val="00BF6A64"/>
    <w:rsid w:val="00C20952"/>
    <w:rsid w:val="00C26223"/>
    <w:rsid w:val="00C30A98"/>
    <w:rsid w:val="00C31CD3"/>
    <w:rsid w:val="00C31D5B"/>
    <w:rsid w:val="00C4331F"/>
    <w:rsid w:val="00C54F8D"/>
    <w:rsid w:val="00C611D1"/>
    <w:rsid w:val="00C63371"/>
    <w:rsid w:val="00C65030"/>
    <w:rsid w:val="00C679B6"/>
    <w:rsid w:val="00C728BE"/>
    <w:rsid w:val="00C84158"/>
    <w:rsid w:val="00C9345B"/>
    <w:rsid w:val="00C9586A"/>
    <w:rsid w:val="00CB11C1"/>
    <w:rsid w:val="00CD189E"/>
    <w:rsid w:val="00CF0E32"/>
    <w:rsid w:val="00CF1706"/>
    <w:rsid w:val="00CF1CB2"/>
    <w:rsid w:val="00CF3C20"/>
    <w:rsid w:val="00D06AFB"/>
    <w:rsid w:val="00D138BA"/>
    <w:rsid w:val="00D322C4"/>
    <w:rsid w:val="00D36077"/>
    <w:rsid w:val="00D42B03"/>
    <w:rsid w:val="00D64CAB"/>
    <w:rsid w:val="00D7632D"/>
    <w:rsid w:val="00D80B12"/>
    <w:rsid w:val="00D81802"/>
    <w:rsid w:val="00D944E7"/>
    <w:rsid w:val="00DA1D74"/>
    <w:rsid w:val="00DC6843"/>
    <w:rsid w:val="00DF0E63"/>
    <w:rsid w:val="00DF6FAA"/>
    <w:rsid w:val="00E055F9"/>
    <w:rsid w:val="00E10ECF"/>
    <w:rsid w:val="00E16FE2"/>
    <w:rsid w:val="00E22E14"/>
    <w:rsid w:val="00E73FDF"/>
    <w:rsid w:val="00E82354"/>
    <w:rsid w:val="00E915D2"/>
    <w:rsid w:val="00EA5581"/>
    <w:rsid w:val="00EB0A87"/>
    <w:rsid w:val="00ED3332"/>
    <w:rsid w:val="00ED4E1C"/>
    <w:rsid w:val="00EE272E"/>
    <w:rsid w:val="00EE62F7"/>
    <w:rsid w:val="00EE6CF4"/>
    <w:rsid w:val="00EF1A3D"/>
    <w:rsid w:val="00EF466D"/>
    <w:rsid w:val="00F01208"/>
    <w:rsid w:val="00F07C10"/>
    <w:rsid w:val="00F12BDE"/>
    <w:rsid w:val="00F16800"/>
    <w:rsid w:val="00F27DBE"/>
    <w:rsid w:val="00F3004C"/>
    <w:rsid w:val="00F33557"/>
    <w:rsid w:val="00F61230"/>
    <w:rsid w:val="00F7070C"/>
    <w:rsid w:val="00F711D7"/>
    <w:rsid w:val="00F73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7E0B"/>
  <w15:chartTrackingRefBased/>
  <w15:docId w15:val="{024A050E-E406-CC44-84B7-632EAA9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1C"/>
    <w:pPr>
      <w:ind w:left="720"/>
      <w:contextualSpacing/>
    </w:pPr>
  </w:style>
  <w:style w:type="paragraph" w:styleId="Footer">
    <w:name w:val="footer"/>
    <w:basedOn w:val="Normal"/>
    <w:link w:val="FooterChar"/>
    <w:uiPriority w:val="99"/>
    <w:unhideWhenUsed/>
    <w:rsid w:val="00F7070C"/>
    <w:pPr>
      <w:tabs>
        <w:tab w:val="center" w:pos="4536"/>
        <w:tab w:val="right" w:pos="9072"/>
      </w:tabs>
    </w:pPr>
  </w:style>
  <w:style w:type="character" w:customStyle="1" w:styleId="FooterChar">
    <w:name w:val="Footer Char"/>
    <w:basedOn w:val="DefaultParagraphFont"/>
    <w:link w:val="Footer"/>
    <w:uiPriority w:val="99"/>
    <w:rsid w:val="00F7070C"/>
  </w:style>
  <w:style w:type="character" w:styleId="PageNumber">
    <w:name w:val="page number"/>
    <w:basedOn w:val="DefaultParagraphFont"/>
    <w:uiPriority w:val="99"/>
    <w:semiHidden/>
    <w:unhideWhenUsed/>
    <w:rsid w:val="00F7070C"/>
  </w:style>
  <w:style w:type="paragraph" w:styleId="FootnoteText">
    <w:name w:val="footnote text"/>
    <w:basedOn w:val="Normal"/>
    <w:link w:val="FootnoteTextChar"/>
    <w:uiPriority w:val="99"/>
    <w:unhideWhenUsed/>
    <w:rsid w:val="001B2362"/>
    <w:rPr>
      <w:sz w:val="20"/>
      <w:szCs w:val="20"/>
    </w:rPr>
  </w:style>
  <w:style w:type="character" w:customStyle="1" w:styleId="FootnoteTextChar">
    <w:name w:val="Footnote Text Char"/>
    <w:basedOn w:val="DefaultParagraphFont"/>
    <w:link w:val="FootnoteText"/>
    <w:uiPriority w:val="99"/>
    <w:rsid w:val="001B2362"/>
    <w:rPr>
      <w:sz w:val="20"/>
      <w:szCs w:val="20"/>
    </w:rPr>
  </w:style>
  <w:style w:type="character" w:styleId="FootnoteReference">
    <w:name w:val="footnote reference"/>
    <w:basedOn w:val="DefaultParagraphFont"/>
    <w:uiPriority w:val="99"/>
    <w:semiHidden/>
    <w:unhideWhenUsed/>
    <w:rsid w:val="001B2362"/>
    <w:rPr>
      <w:vertAlign w:val="superscript"/>
    </w:rPr>
  </w:style>
  <w:style w:type="paragraph" w:styleId="EndnoteText">
    <w:name w:val="endnote text"/>
    <w:basedOn w:val="Normal"/>
    <w:link w:val="EndnoteTextChar"/>
    <w:uiPriority w:val="99"/>
    <w:unhideWhenUsed/>
    <w:rsid w:val="00912D06"/>
    <w:rPr>
      <w:sz w:val="20"/>
      <w:szCs w:val="20"/>
    </w:rPr>
  </w:style>
  <w:style w:type="character" w:customStyle="1" w:styleId="EndnoteTextChar">
    <w:name w:val="Endnote Text Char"/>
    <w:basedOn w:val="DefaultParagraphFont"/>
    <w:link w:val="EndnoteText"/>
    <w:uiPriority w:val="99"/>
    <w:rsid w:val="00912D06"/>
    <w:rPr>
      <w:sz w:val="20"/>
      <w:szCs w:val="20"/>
    </w:rPr>
  </w:style>
  <w:style w:type="paragraph" w:styleId="NormalWeb">
    <w:name w:val="Normal (Web)"/>
    <w:basedOn w:val="Normal"/>
    <w:uiPriority w:val="99"/>
    <w:semiHidden/>
    <w:unhideWhenUsed/>
    <w:rsid w:val="00862D37"/>
    <w:pPr>
      <w:spacing w:before="100" w:beforeAutospacing="1" w:after="100" w:afterAutospacing="1"/>
    </w:pPr>
    <w:rPr>
      <w:rFonts w:ascii="Times New Roman" w:eastAsia="Times New Roman" w:hAnsi="Times New Roman" w:cs="Times New Roman"/>
      <w:lang w:eastAsia="nl-NL"/>
    </w:rPr>
  </w:style>
  <w:style w:type="character" w:styleId="EndnoteReference">
    <w:name w:val="endnote reference"/>
    <w:basedOn w:val="DefaultParagraphFont"/>
    <w:uiPriority w:val="99"/>
    <w:semiHidden/>
    <w:unhideWhenUsed/>
    <w:rsid w:val="00262116"/>
    <w:rPr>
      <w:vertAlign w:val="superscript"/>
    </w:rPr>
  </w:style>
  <w:style w:type="paragraph" w:styleId="Revision">
    <w:name w:val="Revision"/>
    <w:hidden/>
    <w:uiPriority w:val="99"/>
    <w:semiHidden/>
    <w:rsid w:val="002E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5766">
      <w:bodyDiv w:val="1"/>
      <w:marLeft w:val="0"/>
      <w:marRight w:val="0"/>
      <w:marTop w:val="0"/>
      <w:marBottom w:val="0"/>
      <w:divBdr>
        <w:top w:val="none" w:sz="0" w:space="0" w:color="auto"/>
        <w:left w:val="none" w:sz="0" w:space="0" w:color="auto"/>
        <w:bottom w:val="none" w:sz="0" w:space="0" w:color="auto"/>
        <w:right w:val="none" w:sz="0" w:space="0" w:color="auto"/>
      </w:divBdr>
      <w:divsChild>
        <w:div w:id="1992252556">
          <w:marLeft w:val="0"/>
          <w:marRight w:val="0"/>
          <w:marTop w:val="0"/>
          <w:marBottom w:val="0"/>
          <w:divBdr>
            <w:top w:val="none" w:sz="0" w:space="0" w:color="auto"/>
            <w:left w:val="none" w:sz="0" w:space="0" w:color="auto"/>
            <w:bottom w:val="none" w:sz="0" w:space="0" w:color="auto"/>
            <w:right w:val="none" w:sz="0" w:space="0" w:color="auto"/>
          </w:divBdr>
          <w:divsChild>
            <w:div w:id="394472694">
              <w:marLeft w:val="0"/>
              <w:marRight w:val="0"/>
              <w:marTop w:val="0"/>
              <w:marBottom w:val="0"/>
              <w:divBdr>
                <w:top w:val="none" w:sz="0" w:space="0" w:color="auto"/>
                <w:left w:val="none" w:sz="0" w:space="0" w:color="auto"/>
                <w:bottom w:val="none" w:sz="0" w:space="0" w:color="auto"/>
                <w:right w:val="none" w:sz="0" w:space="0" w:color="auto"/>
              </w:divBdr>
              <w:divsChild>
                <w:div w:id="901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5353">
      <w:bodyDiv w:val="1"/>
      <w:marLeft w:val="0"/>
      <w:marRight w:val="0"/>
      <w:marTop w:val="0"/>
      <w:marBottom w:val="0"/>
      <w:divBdr>
        <w:top w:val="none" w:sz="0" w:space="0" w:color="auto"/>
        <w:left w:val="none" w:sz="0" w:space="0" w:color="auto"/>
        <w:bottom w:val="none" w:sz="0" w:space="0" w:color="auto"/>
        <w:right w:val="none" w:sz="0" w:space="0" w:color="auto"/>
      </w:divBdr>
      <w:divsChild>
        <w:div w:id="567376962">
          <w:marLeft w:val="0"/>
          <w:marRight w:val="0"/>
          <w:marTop w:val="0"/>
          <w:marBottom w:val="0"/>
          <w:divBdr>
            <w:top w:val="none" w:sz="0" w:space="0" w:color="auto"/>
            <w:left w:val="none" w:sz="0" w:space="0" w:color="auto"/>
            <w:bottom w:val="none" w:sz="0" w:space="0" w:color="auto"/>
            <w:right w:val="none" w:sz="0" w:space="0" w:color="auto"/>
          </w:divBdr>
          <w:divsChild>
            <w:div w:id="1554846685">
              <w:marLeft w:val="0"/>
              <w:marRight w:val="0"/>
              <w:marTop w:val="0"/>
              <w:marBottom w:val="0"/>
              <w:divBdr>
                <w:top w:val="none" w:sz="0" w:space="0" w:color="auto"/>
                <w:left w:val="none" w:sz="0" w:space="0" w:color="auto"/>
                <w:bottom w:val="none" w:sz="0" w:space="0" w:color="auto"/>
                <w:right w:val="none" w:sz="0" w:space="0" w:color="auto"/>
              </w:divBdr>
              <w:divsChild>
                <w:div w:id="10126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5591">
      <w:bodyDiv w:val="1"/>
      <w:marLeft w:val="0"/>
      <w:marRight w:val="0"/>
      <w:marTop w:val="0"/>
      <w:marBottom w:val="0"/>
      <w:divBdr>
        <w:top w:val="none" w:sz="0" w:space="0" w:color="auto"/>
        <w:left w:val="none" w:sz="0" w:space="0" w:color="auto"/>
        <w:bottom w:val="none" w:sz="0" w:space="0" w:color="auto"/>
        <w:right w:val="none" w:sz="0" w:space="0" w:color="auto"/>
      </w:divBdr>
      <w:divsChild>
        <w:div w:id="914053380">
          <w:marLeft w:val="0"/>
          <w:marRight w:val="0"/>
          <w:marTop w:val="0"/>
          <w:marBottom w:val="0"/>
          <w:divBdr>
            <w:top w:val="none" w:sz="0" w:space="0" w:color="auto"/>
            <w:left w:val="none" w:sz="0" w:space="0" w:color="auto"/>
            <w:bottom w:val="none" w:sz="0" w:space="0" w:color="auto"/>
            <w:right w:val="none" w:sz="0" w:space="0" w:color="auto"/>
          </w:divBdr>
          <w:divsChild>
            <w:div w:id="278489243">
              <w:marLeft w:val="0"/>
              <w:marRight w:val="0"/>
              <w:marTop w:val="0"/>
              <w:marBottom w:val="0"/>
              <w:divBdr>
                <w:top w:val="none" w:sz="0" w:space="0" w:color="auto"/>
                <w:left w:val="none" w:sz="0" w:space="0" w:color="auto"/>
                <w:bottom w:val="none" w:sz="0" w:space="0" w:color="auto"/>
                <w:right w:val="none" w:sz="0" w:space="0" w:color="auto"/>
              </w:divBdr>
              <w:divsChild>
                <w:div w:id="404884478">
                  <w:marLeft w:val="0"/>
                  <w:marRight w:val="0"/>
                  <w:marTop w:val="0"/>
                  <w:marBottom w:val="0"/>
                  <w:divBdr>
                    <w:top w:val="none" w:sz="0" w:space="0" w:color="auto"/>
                    <w:left w:val="none" w:sz="0" w:space="0" w:color="auto"/>
                    <w:bottom w:val="none" w:sz="0" w:space="0" w:color="auto"/>
                    <w:right w:val="none" w:sz="0" w:space="0" w:color="auto"/>
                  </w:divBdr>
                </w:div>
              </w:divsChild>
            </w:div>
            <w:div w:id="1406338460">
              <w:marLeft w:val="0"/>
              <w:marRight w:val="0"/>
              <w:marTop w:val="0"/>
              <w:marBottom w:val="0"/>
              <w:divBdr>
                <w:top w:val="none" w:sz="0" w:space="0" w:color="auto"/>
                <w:left w:val="none" w:sz="0" w:space="0" w:color="auto"/>
                <w:bottom w:val="none" w:sz="0" w:space="0" w:color="auto"/>
                <w:right w:val="none" w:sz="0" w:space="0" w:color="auto"/>
              </w:divBdr>
              <w:divsChild>
                <w:div w:id="5243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36252">
      <w:bodyDiv w:val="1"/>
      <w:marLeft w:val="0"/>
      <w:marRight w:val="0"/>
      <w:marTop w:val="0"/>
      <w:marBottom w:val="0"/>
      <w:divBdr>
        <w:top w:val="none" w:sz="0" w:space="0" w:color="auto"/>
        <w:left w:val="none" w:sz="0" w:space="0" w:color="auto"/>
        <w:bottom w:val="none" w:sz="0" w:space="0" w:color="auto"/>
        <w:right w:val="none" w:sz="0" w:space="0" w:color="auto"/>
      </w:divBdr>
      <w:divsChild>
        <w:div w:id="722561135">
          <w:marLeft w:val="0"/>
          <w:marRight w:val="0"/>
          <w:marTop w:val="0"/>
          <w:marBottom w:val="0"/>
          <w:divBdr>
            <w:top w:val="none" w:sz="0" w:space="0" w:color="auto"/>
            <w:left w:val="none" w:sz="0" w:space="0" w:color="auto"/>
            <w:bottom w:val="none" w:sz="0" w:space="0" w:color="auto"/>
            <w:right w:val="none" w:sz="0" w:space="0" w:color="auto"/>
          </w:divBdr>
          <w:divsChild>
            <w:div w:id="1904563834">
              <w:marLeft w:val="0"/>
              <w:marRight w:val="0"/>
              <w:marTop w:val="0"/>
              <w:marBottom w:val="0"/>
              <w:divBdr>
                <w:top w:val="none" w:sz="0" w:space="0" w:color="auto"/>
                <w:left w:val="none" w:sz="0" w:space="0" w:color="auto"/>
                <w:bottom w:val="none" w:sz="0" w:space="0" w:color="auto"/>
                <w:right w:val="none" w:sz="0" w:space="0" w:color="auto"/>
              </w:divBdr>
              <w:divsChild>
                <w:div w:id="11970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6455">
      <w:bodyDiv w:val="1"/>
      <w:marLeft w:val="0"/>
      <w:marRight w:val="0"/>
      <w:marTop w:val="0"/>
      <w:marBottom w:val="0"/>
      <w:divBdr>
        <w:top w:val="none" w:sz="0" w:space="0" w:color="auto"/>
        <w:left w:val="none" w:sz="0" w:space="0" w:color="auto"/>
        <w:bottom w:val="none" w:sz="0" w:space="0" w:color="auto"/>
        <w:right w:val="none" w:sz="0" w:space="0" w:color="auto"/>
      </w:divBdr>
      <w:divsChild>
        <w:div w:id="1951888595">
          <w:marLeft w:val="0"/>
          <w:marRight w:val="0"/>
          <w:marTop w:val="0"/>
          <w:marBottom w:val="0"/>
          <w:divBdr>
            <w:top w:val="none" w:sz="0" w:space="0" w:color="auto"/>
            <w:left w:val="none" w:sz="0" w:space="0" w:color="auto"/>
            <w:bottom w:val="none" w:sz="0" w:space="0" w:color="auto"/>
            <w:right w:val="none" w:sz="0" w:space="0" w:color="auto"/>
          </w:divBdr>
          <w:divsChild>
            <w:div w:id="955715591">
              <w:marLeft w:val="0"/>
              <w:marRight w:val="0"/>
              <w:marTop w:val="0"/>
              <w:marBottom w:val="0"/>
              <w:divBdr>
                <w:top w:val="none" w:sz="0" w:space="0" w:color="auto"/>
                <w:left w:val="none" w:sz="0" w:space="0" w:color="auto"/>
                <w:bottom w:val="none" w:sz="0" w:space="0" w:color="auto"/>
                <w:right w:val="none" w:sz="0" w:space="0" w:color="auto"/>
              </w:divBdr>
              <w:divsChild>
                <w:div w:id="1490318793">
                  <w:marLeft w:val="0"/>
                  <w:marRight w:val="0"/>
                  <w:marTop w:val="0"/>
                  <w:marBottom w:val="0"/>
                  <w:divBdr>
                    <w:top w:val="none" w:sz="0" w:space="0" w:color="auto"/>
                    <w:left w:val="none" w:sz="0" w:space="0" w:color="auto"/>
                    <w:bottom w:val="none" w:sz="0" w:space="0" w:color="auto"/>
                    <w:right w:val="none" w:sz="0" w:space="0" w:color="auto"/>
                  </w:divBdr>
                  <w:divsChild>
                    <w:div w:id="712463341">
                      <w:marLeft w:val="0"/>
                      <w:marRight w:val="0"/>
                      <w:marTop w:val="0"/>
                      <w:marBottom w:val="0"/>
                      <w:divBdr>
                        <w:top w:val="none" w:sz="0" w:space="0" w:color="auto"/>
                        <w:left w:val="none" w:sz="0" w:space="0" w:color="auto"/>
                        <w:bottom w:val="none" w:sz="0" w:space="0" w:color="auto"/>
                        <w:right w:val="none" w:sz="0" w:space="0" w:color="auto"/>
                      </w:divBdr>
                    </w:div>
                  </w:divsChild>
                </w:div>
                <w:div w:id="618297167">
                  <w:marLeft w:val="0"/>
                  <w:marRight w:val="0"/>
                  <w:marTop w:val="0"/>
                  <w:marBottom w:val="0"/>
                  <w:divBdr>
                    <w:top w:val="none" w:sz="0" w:space="0" w:color="auto"/>
                    <w:left w:val="none" w:sz="0" w:space="0" w:color="auto"/>
                    <w:bottom w:val="none" w:sz="0" w:space="0" w:color="auto"/>
                    <w:right w:val="none" w:sz="0" w:space="0" w:color="auto"/>
                  </w:divBdr>
                  <w:divsChild>
                    <w:div w:id="1114054095">
                      <w:marLeft w:val="0"/>
                      <w:marRight w:val="0"/>
                      <w:marTop w:val="0"/>
                      <w:marBottom w:val="0"/>
                      <w:divBdr>
                        <w:top w:val="none" w:sz="0" w:space="0" w:color="auto"/>
                        <w:left w:val="none" w:sz="0" w:space="0" w:color="auto"/>
                        <w:bottom w:val="none" w:sz="0" w:space="0" w:color="auto"/>
                        <w:right w:val="none" w:sz="0" w:space="0" w:color="auto"/>
                      </w:divBdr>
                    </w:div>
                    <w:div w:id="7914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4588">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sChild>
                <w:div w:id="1896888954">
                  <w:marLeft w:val="0"/>
                  <w:marRight w:val="0"/>
                  <w:marTop w:val="0"/>
                  <w:marBottom w:val="0"/>
                  <w:divBdr>
                    <w:top w:val="none" w:sz="0" w:space="0" w:color="auto"/>
                    <w:left w:val="none" w:sz="0" w:space="0" w:color="auto"/>
                    <w:bottom w:val="none" w:sz="0" w:space="0" w:color="auto"/>
                    <w:right w:val="none" w:sz="0" w:space="0" w:color="auto"/>
                  </w:divBdr>
                </w:div>
                <w:div w:id="1310790594">
                  <w:marLeft w:val="0"/>
                  <w:marRight w:val="0"/>
                  <w:marTop w:val="0"/>
                  <w:marBottom w:val="0"/>
                  <w:divBdr>
                    <w:top w:val="none" w:sz="0" w:space="0" w:color="auto"/>
                    <w:left w:val="none" w:sz="0" w:space="0" w:color="auto"/>
                    <w:bottom w:val="none" w:sz="0" w:space="0" w:color="auto"/>
                    <w:right w:val="none" w:sz="0" w:space="0" w:color="auto"/>
                  </w:divBdr>
                </w:div>
              </w:divsChild>
            </w:div>
            <w:div w:id="1224365453">
              <w:marLeft w:val="0"/>
              <w:marRight w:val="0"/>
              <w:marTop w:val="0"/>
              <w:marBottom w:val="0"/>
              <w:divBdr>
                <w:top w:val="none" w:sz="0" w:space="0" w:color="auto"/>
                <w:left w:val="none" w:sz="0" w:space="0" w:color="auto"/>
                <w:bottom w:val="none" w:sz="0" w:space="0" w:color="auto"/>
                <w:right w:val="none" w:sz="0" w:space="0" w:color="auto"/>
              </w:divBdr>
              <w:divsChild>
                <w:div w:id="6528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5247">
      <w:bodyDiv w:val="1"/>
      <w:marLeft w:val="0"/>
      <w:marRight w:val="0"/>
      <w:marTop w:val="0"/>
      <w:marBottom w:val="0"/>
      <w:divBdr>
        <w:top w:val="none" w:sz="0" w:space="0" w:color="auto"/>
        <w:left w:val="none" w:sz="0" w:space="0" w:color="auto"/>
        <w:bottom w:val="none" w:sz="0" w:space="0" w:color="auto"/>
        <w:right w:val="none" w:sz="0" w:space="0" w:color="auto"/>
      </w:divBdr>
      <w:divsChild>
        <w:div w:id="319846450">
          <w:marLeft w:val="0"/>
          <w:marRight w:val="0"/>
          <w:marTop w:val="0"/>
          <w:marBottom w:val="0"/>
          <w:divBdr>
            <w:top w:val="none" w:sz="0" w:space="0" w:color="auto"/>
            <w:left w:val="none" w:sz="0" w:space="0" w:color="auto"/>
            <w:bottom w:val="none" w:sz="0" w:space="0" w:color="auto"/>
            <w:right w:val="none" w:sz="0" w:space="0" w:color="auto"/>
          </w:divBdr>
          <w:divsChild>
            <w:div w:id="1059867857">
              <w:marLeft w:val="0"/>
              <w:marRight w:val="0"/>
              <w:marTop w:val="0"/>
              <w:marBottom w:val="0"/>
              <w:divBdr>
                <w:top w:val="none" w:sz="0" w:space="0" w:color="auto"/>
                <w:left w:val="none" w:sz="0" w:space="0" w:color="auto"/>
                <w:bottom w:val="none" w:sz="0" w:space="0" w:color="auto"/>
                <w:right w:val="none" w:sz="0" w:space="0" w:color="auto"/>
              </w:divBdr>
              <w:divsChild>
                <w:div w:id="5462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58156">
      <w:bodyDiv w:val="1"/>
      <w:marLeft w:val="0"/>
      <w:marRight w:val="0"/>
      <w:marTop w:val="0"/>
      <w:marBottom w:val="0"/>
      <w:divBdr>
        <w:top w:val="none" w:sz="0" w:space="0" w:color="auto"/>
        <w:left w:val="none" w:sz="0" w:space="0" w:color="auto"/>
        <w:bottom w:val="none" w:sz="0" w:space="0" w:color="auto"/>
        <w:right w:val="none" w:sz="0" w:space="0" w:color="auto"/>
      </w:divBdr>
      <w:divsChild>
        <w:div w:id="246230728">
          <w:marLeft w:val="0"/>
          <w:marRight w:val="0"/>
          <w:marTop w:val="0"/>
          <w:marBottom w:val="0"/>
          <w:divBdr>
            <w:top w:val="none" w:sz="0" w:space="0" w:color="auto"/>
            <w:left w:val="none" w:sz="0" w:space="0" w:color="auto"/>
            <w:bottom w:val="none" w:sz="0" w:space="0" w:color="auto"/>
            <w:right w:val="none" w:sz="0" w:space="0" w:color="auto"/>
          </w:divBdr>
          <w:divsChild>
            <w:div w:id="880433882">
              <w:marLeft w:val="0"/>
              <w:marRight w:val="0"/>
              <w:marTop w:val="0"/>
              <w:marBottom w:val="0"/>
              <w:divBdr>
                <w:top w:val="none" w:sz="0" w:space="0" w:color="auto"/>
                <w:left w:val="none" w:sz="0" w:space="0" w:color="auto"/>
                <w:bottom w:val="none" w:sz="0" w:space="0" w:color="auto"/>
                <w:right w:val="none" w:sz="0" w:space="0" w:color="auto"/>
              </w:divBdr>
              <w:divsChild>
                <w:div w:id="1574705902">
                  <w:marLeft w:val="0"/>
                  <w:marRight w:val="0"/>
                  <w:marTop w:val="0"/>
                  <w:marBottom w:val="0"/>
                  <w:divBdr>
                    <w:top w:val="none" w:sz="0" w:space="0" w:color="auto"/>
                    <w:left w:val="none" w:sz="0" w:space="0" w:color="auto"/>
                    <w:bottom w:val="none" w:sz="0" w:space="0" w:color="auto"/>
                    <w:right w:val="none" w:sz="0" w:space="0" w:color="auto"/>
                  </w:divBdr>
                  <w:divsChild>
                    <w:div w:id="20955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7FAC-4691-9447-A064-845FAC4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15435</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 Mein</dc:creator>
  <cp:keywords/>
  <dc:description/>
  <cp:lastModifiedBy>Shanti Jamin</cp:lastModifiedBy>
  <cp:revision>2</cp:revision>
  <cp:lastPrinted>2023-04-14T14:07:00Z</cp:lastPrinted>
  <dcterms:created xsi:type="dcterms:W3CDTF">2024-05-30T12:50:00Z</dcterms:created>
  <dcterms:modified xsi:type="dcterms:W3CDTF">2024-05-30T12:50:00Z</dcterms:modified>
</cp:coreProperties>
</file>